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7AD18" w14:textId="77777777" w:rsidR="0092542E" w:rsidRPr="00F54753" w:rsidRDefault="0092542E">
      <w:pPr>
        <w:rPr>
          <w:sz w:val="16"/>
          <w:szCs w:val="16"/>
        </w:rPr>
      </w:pPr>
    </w:p>
    <w:p w14:paraId="033DBD25" w14:textId="16DD0DFB" w:rsidR="008C624F" w:rsidRDefault="008C624F" w:rsidP="008C624F">
      <w:pPr>
        <w:jc w:val="center"/>
        <w:rPr>
          <w:rFonts w:ascii="Arial Black" w:hAnsi="Arial Black" w:cs="Arial"/>
          <w:sz w:val="28"/>
          <w:szCs w:val="28"/>
        </w:rPr>
      </w:pPr>
      <w:r>
        <w:rPr>
          <w:rFonts w:ascii="Arial Black" w:hAnsi="Arial Black" w:cs="Arial"/>
          <w:sz w:val="28"/>
          <w:szCs w:val="28"/>
        </w:rPr>
        <w:t xml:space="preserve">Zájem o nové byty byl </w:t>
      </w:r>
      <w:r w:rsidR="00440F64">
        <w:rPr>
          <w:rFonts w:ascii="Arial Black" w:hAnsi="Arial Black" w:cs="Arial"/>
          <w:sz w:val="28"/>
          <w:szCs w:val="28"/>
        </w:rPr>
        <w:t xml:space="preserve">na konci </w:t>
      </w:r>
      <w:r>
        <w:rPr>
          <w:rFonts w:ascii="Arial Black" w:hAnsi="Arial Black" w:cs="Arial"/>
          <w:sz w:val="28"/>
          <w:szCs w:val="28"/>
        </w:rPr>
        <w:t>lo</w:t>
      </w:r>
      <w:r w:rsidR="00440F64">
        <w:rPr>
          <w:rFonts w:ascii="Arial Black" w:hAnsi="Arial Black" w:cs="Arial"/>
          <w:sz w:val="28"/>
          <w:szCs w:val="28"/>
        </w:rPr>
        <w:t>ňska</w:t>
      </w:r>
      <w:r>
        <w:rPr>
          <w:rFonts w:ascii="Arial Black" w:hAnsi="Arial Black" w:cs="Arial"/>
          <w:sz w:val="28"/>
          <w:szCs w:val="28"/>
        </w:rPr>
        <w:t xml:space="preserve"> v Praze rekordní </w:t>
      </w:r>
    </w:p>
    <w:p w14:paraId="728DEDE9" w14:textId="77777777" w:rsidR="008C624F" w:rsidRDefault="008C624F" w:rsidP="008C624F">
      <w:pPr>
        <w:jc w:val="center"/>
        <w:rPr>
          <w:rFonts w:ascii="Arial Black" w:hAnsi="Arial Black" w:cs="Arial"/>
          <w:sz w:val="28"/>
          <w:szCs w:val="28"/>
        </w:rPr>
      </w:pPr>
    </w:p>
    <w:p w14:paraId="49ECE9B3" w14:textId="77777777" w:rsidR="008C624F" w:rsidRPr="002721AB" w:rsidRDefault="008C624F" w:rsidP="008C624F">
      <w:pPr>
        <w:spacing w:line="360" w:lineRule="auto"/>
        <w:jc w:val="both"/>
        <w:rPr>
          <w:rFonts w:ascii="Arial" w:hAnsi="Arial" w:cs="Arial"/>
          <w:i/>
          <w:sz w:val="18"/>
          <w:szCs w:val="18"/>
        </w:rPr>
      </w:pPr>
      <w:r w:rsidRPr="002721AB">
        <w:rPr>
          <w:rFonts w:ascii="Arial" w:hAnsi="Arial" w:cs="Arial"/>
          <w:i/>
          <w:sz w:val="18"/>
          <w:szCs w:val="18"/>
        </w:rPr>
        <w:t>Praha, 2</w:t>
      </w:r>
      <w:r>
        <w:rPr>
          <w:rFonts w:ascii="Arial" w:hAnsi="Arial" w:cs="Arial"/>
          <w:i/>
          <w:sz w:val="18"/>
          <w:szCs w:val="18"/>
        </w:rPr>
        <w:t>7</w:t>
      </w:r>
      <w:r w:rsidRPr="002721AB">
        <w:rPr>
          <w:rFonts w:ascii="Arial" w:hAnsi="Arial" w:cs="Arial"/>
          <w:i/>
          <w:sz w:val="18"/>
          <w:szCs w:val="18"/>
        </w:rPr>
        <w:t xml:space="preserve">. </w:t>
      </w:r>
      <w:r>
        <w:rPr>
          <w:rFonts w:ascii="Arial" w:hAnsi="Arial" w:cs="Arial"/>
          <w:i/>
          <w:sz w:val="18"/>
          <w:szCs w:val="18"/>
        </w:rPr>
        <w:t>ledna</w:t>
      </w:r>
      <w:r w:rsidRPr="002721AB">
        <w:rPr>
          <w:rFonts w:ascii="Arial" w:hAnsi="Arial" w:cs="Arial"/>
          <w:i/>
          <w:sz w:val="18"/>
          <w:szCs w:val="18"/>
        </w:rPr>
        <w:t xml:space="preserve"> 202</w:t>
      </w:r>
      <w:r>
        <w:rPr>
          <w:rFonts w:ascii="Arial" w:hAnsi="Arial" w:cs="Arial"/>
          <w:i/>
          <w:sz w:val="18"/>
          <w:szCs w:val="18"/>
        </w:rPr>
        <w:t>1</w:t>
      </w:r>
    </w:p>
    <w:p w14:paraId="20CE51B8" w14:textId="0E3B11F7" w:rsidR="008C624F" w:rsidRDefault="008C624F" w:rsidP="008C624F">
      <w:pPr>
        <w:spacing w:line="360" w:lineRule="auto"/>
        <w:jc w:val="both"/>
        <w:rPr>
          <w:rFonts w:ascii="Arial" w:hAnsi="Arial" w:cs="Arial"/>
          <w:b/>
          <w:bCs/>
          <w:sz w:val="18"/>
          <w:szCs w:val="18"/>
        </w:rPr>
      </w:pPr>
      <w:r w:rsidRPr="002721AB">
        <w:rPr>
          <w:rFonts w:ascii="Arial" w:hAnsi="Arial" w:cs="Arial"/>
          <w:b/>
          <w:bCs/>
          <w:sz w:val="18"/>
          <w:szCs w:val="18"/>
        </w:rPr>
        <w:t xml:space="preserve">V Praze </w:t>
      </w:r>
      <w:r>
        <w:rPr>
          <w:rFonts w:ascii="Arial" w:hAnsi="Arial" w:cs="Arial"/>
          <w:b/>
          <w:bCs/>
          <w:sz w:val="18"/>
          <w:szCs w:val="18"/>
        </w:rPr>
        <w:t>se během posledních tří měsíců minulého roku prodalo rekordních 2</w:t>
      </w:r>
      <w:r w:rsidR="00E75C2F">
        <w:rPr>
          <w:rFonts w:ascii="Arial" w:hAnsi="Arial" w:cs="Arial"/>
          <w:b/>
          <w:bCs/>
          <w:sz w:val="18"/>
          <w:szCs w:val="18"/>
        </w:rPr>
        <w:t xml:space="preserve"> </w:t>
      </w:r>
      <w:r>
        <w:rPr>
          <w:rFonts w:ascii="Arial" w:hAnsi="Arial" w:cs="Arial"/>
          <w:b/>
          <w:bCs/>
          <w:sz w:val="18"/>
          <w:szCs w:val="18"/>
        </w:rPr>
        <w:t xml:space="preserve">050 nových bytů. Celkově si tak za celý rok našlo své zájemce 5 800 jednotek, ukázala analýza společností Trigema, Skanska a Central Group. Průměrná cena prodaného bytu byla ve 4. čtvrtletí ve výši </w:t>
      </w:r>
      <w:r w:rsidRPr="00C53555">
        <w:rPr>
          <w:rFonts w:ascii="Arial" w:hAnsi="Arial" w:cs="Arial"/>
          <w:b/>
          <w:bCs/>
          <w:sz w:val="18"/>
          <w:szCs w:val="18"/>
        </w:rPr>
        <w:t>107</w:t>
      </w:r>
      <w:r w:rsidR="00E75C2F">
        <w:rPr>
          <w:rFonts w:ascii="Arial" w:hAnsi="Arial" w:cs="Arial"/>
          <w:b/>
          <w:bCs/>
          <w:sz w:val="18"/>
          <w:szCs w:val="18"/>
        </w:rPr>
        <w:t xml:space="preserve"> </w:t>
      </w:r>
      <w:r w:rsidRPr="00C53555">
        <w:rPr>
          <w:rFonts w:ascii="Arial" w:hAnsi="Arial" w:cs="Arial"/>
          <w:b/>
          <w:bCs/>
          <w:sz w:val="18"/>
          <w:szCs w:val="18"/>
        </w:rPr>
        <w:t>876</w:t>
      </w:r>
      <w:r>
        <w:rPr>
          <w:rFonts w:ascii="Arial" w:hAnsi="Arial" w:cs="Arial"/>
          <w:b/>
          <w:bCs/>
          <w:sz w:val="18"/>
          <w:szCs w:val="18"/>
        </w:rPr>
        <w:t xml:space="preserve"> korun na m</w:t>
      </w:r>
      <w:r w:rsidRPr="007A001D">
        <w:rPr>
          <w:rFonts w:ascii="Arial" w:hAnsi="Arial" w:cs="Arial"/>
          <w:b/>
          <w:bCs/>
          <w:sz w:val="18"/>
          <w:szCs w:val="18"/>
          <w:vertAlign w:val="superscript"/>
        </w:rPr>
        <w:t>2</w:t>
      </w:r>
      <w:r>
        <w:rPr>
          <w:rFonts w:ascii="Arial" w:hAnsi="Arial" w:cs="Arial"/>
          <w:b/>
          <w:bCs/>
          <w:sz w:val="18"/>
          <w:szCs w:val="18"/>
        </w:rPr>
        <w:t>. Nabídka činila na konci roku 4 950 bytů. Mimo hlavní město se loni dohromady prodalo 7 093 bytů. Ve 4. kvartálu to bylo 2</w:t>
      </w:r>
      <w:r w:rsidR="00E75C2F">
        <w:rPr>
          <w:rFonts w:ascii="Arial" w:hAnsi="Arial" w:cs="Arial"/>
          <w:b/>
          <w:bCs/>
          <w:sz w:val="18"/>
          <w:szCs w:val="18"/>
        </w:rPr>
        <w:t xml:space="preserve"> </w:t>
      </w:r>
      <w:r>
        <w:rPr>
          <w:rFonts w:ascii="Arial" w:hAnsi="Arial" w:cs="Arial"/>
          <w:b/>
          <w:bCs/>
          <w:sz w:val="18"/>
          <w:szCs w:val="18"/>
        </w:rPr>
        <w:t>047 bytů za průměrnou cenu 65 572 korun na m</w:t>
      </w:r>
      <w:r w:rsidRPr="007A001D">
        <w:rPr>
          <w:rFonts w:ascii="Arial" w:hAnsi="Arial" w:cs="Arial"/>
          <w:b/>
          <w:bCs/>
          <w:sz w:val="18"/>
          <w:szCs w:val="18"/>
          <w:vertAlign w:val="superscript"/>
        </w:rPr>
        <w:t>2</w:t>
      </w:r>
      <w:r>
        <w:rPr>
          <w:rFonts w:ascii="Arial" w:hAnsi="Arial" w:cs="Arial"/>
          <w:b/>
          <w:bCs/>
          <w:sz w:val="18"/>
          <w:szCs w:val="18"/>
        </w:rPr>
        <w:t xml:space="preserve">, potvrdila studie Trigemy a realitního agregátoru Flat Zone.    </w:t>
      </w:r>
    </w:p>
    <w:p w14:paraId="24111E1C" w14:textId="77777777" w:rsidR="00EA14B0" w:rsidRDefault="00EA14B0" w:rsidP="008C624F">
      <w:pPr>
        <w:spacing w:line="360" w:lineRule="auto"/>
        <w:jc w:val="both"/>
        <w:rPr>
          <w:rFonts w:ascii="Arial" w:hAnsi="Arial" w:cs="Arial"/>
          <w:sz w:val="18"/>
          <w:szCs w:val="18"/>
        </w:rPr>
      </w:pPr>
    </w:p>
    <w:p w14:paraId="7873D29E" w14:textId="191C0D79" w:rsidR="00737D32" w:rsidRDefault="008C624F" w:rsidP="00737D32">
      <w:pPr>
        <w:spacing w:line="360" w:lineRule="auto"/>
        <w:jc w:val="both"/>
        <w:rPr>
          <w:rFonts w:ascii="Arial" w:hAnsi="Arial" w:cs="Arial"/>
          <w:sz w:val="18"/>
          <w:szCs w:val="18"/>
        </w:rPr>
      </w:pPr>
      <w:r>
        <w:rPr>
          <w:rFonts w:ascii="Arial" w:hAnsi="Arial" w:cs="Arial"/>
          <w:sz w:val="18"/>
          <w:szCs w:val="18"/>
        </w:rPr>
        <w:t xml:space="preserve">Vysoký zájem o bydlení v hlavním městě </w:t>
      </w:r>
      <w:r w:rsidR="00141FE3">
        <w:rPr>
          <w:rFonts w:ascii="Arial" w:hAnsi="Arial" w:cs="Arial"/>
          <w:sz w:val="18"/>
          <w:szCs w:val="18"/>
        </w:rPr>
        <w:t>v roce 2020</w:t>
      </w:r>
      <w:r>
        <w:rPr>
          <w:rFonts w:ascii="Arial" w:hAnsi="Arial" w:cs="Arial"/>
          <w:sz w:val="18"/>
          <w:szCs w:val="18"/>
        </w:rPr>
        <w:t xml:space="preserve"> způsobil, že se prodalo více nových bytů, než tomu bylo v předchozích letech. Dohromady to bylo 5</w:t>
      </w:r>
      <w:r w:rsidR="00E75C2F">
        <w:rPr>
          <w:rFonts w:ascii="Arial" w:hAnsi="Arial" w:cs="Arial"/>
          <w:sz w:val="18"/>
          <w:szCs w:val="18"/>
        </w:rPr>
        <w:t xml:space="preserve"> </w:t>
      </w:r>
      <w:r>
        <w:rPr>
          <w:rFonts w:ascii="Arial" w:hAnsi="Arial" w:cs="Arial"/>
          <w:sz w:val="18"/>
          <w:szCs w:val="18"/>
        </w:rPr>
        <w:t>800 bytů. Poptávka byla zvýšená zejména na konci roku, kdy se jednalo hned o 2</w:t>
      </w:r>
      <w:r w:rsidR="00E75C2F">
        <w:rPr>
          <w:rFonts w:ascii="Arial" w:hAnsi="Arial" w:cs="Arial"/>
          <w:sz w:val="18"/>
          <w:szCs w:val="18"/>
        </w:rPr>
        <w:t xml:space="preserve"> </w:t>
      </w:r>
      <w:r>
        <w:rPr>
          <w:rFonts w:ascii="Arial" w:hAnsi="Arial" w:cs="Arial"/>
          <w:sz w:val="18"/>
          <w:szCs w:val="18"/>
        </w:rPr>
        <w:t xml:space="preserve">050 bytů. Vyšší množství jednotek se během posledních 10 let v žádném jiném čtvrtletí neprodalo. Pro srovnání: v roce 2019 se na trhu celkově uplatnilo 5 600, v roce 2018 pak 5 000 a rok předtím 5 500 jednotek. </w:t>
      </w:r>
      <w:r w:rsidR="00737D32" w:rsidRPr="00737D32">
        <w:rPr>
          <w:rFonts w:ascii="Arial" w:hAnsi="Arial" w:cs="Arial"/>
          <w:sz w:val="18"/>
          <w:szCs w:val="18"/>
        </w:rPr>
        <w:t>Více bytů prodalo pouze v letech 2015 a 2016, kdy se jednalo o 7 000, resp</w:t>
      </w:r>
      <w:r w:rsidR="00737D32">
        <w:rPr>
          <w:rFonts w:ascii="Arial" w:hAnsi="Arial" w:cs="Arial"/>
          <w:sz w:val="18"/>
          <w:szCs w:val="18"/>
        </w:rPr>
        <w:t>.</w:t>
      </w:r>
      <w:r w:rsidR="00737D32" w:rsidRPr="00737D32">
        <w:rPr>
          <w:rFonts w:ascii="Arial" w:hAnsi="Arial" w:cs="Arial"/>
          <w:sz w:val="18"/>
          <w:szCs w:val="18"/>
        </w:rPr>
        <w:t xml:space="preserve"> 6 650 nových bytů, </w:t>
      </w:r>
      <w:r w:rsidR="00737D32">
        <w:rPr>
          <w:rFonts w:ascii="Arial" w:hAnsi="Arial" w:cs="Arial"/>
          <w:sz w:val="18"/>
          <w:szCs w:val="18"/>
        </w:rPr>
        <w:t>ukazují</w:t>
      </w:r>
      <w:r w:rsidR="00737D32" w:rsidRPr="00737D32">
        <w:rPr>
          <w:rFonts w:ascii="Arial" w:hAnsi="Arial" w:cs="Arial"/>
          <w:sz w:val="18"/>
          <w:szCs w:val="18"/>
        </w:rPr>
        <w:t xml:space="preserve"> data společností Trigema, Skanska a Central Group. </w:t>
      </w:r>
    </w:p>
    <w:p w14:paraId="058BA489" w14:textId="1ACA04BA" w:rsidR="008C624F" w:rsidRPr="005723C0" w:rsidRDefault="008C624F" w:rsidP="00737D32">
      <w:pPr>
        <w:spacing w:line="360" w:lineRule="auto"/>
        <w:jc w:val="both"/>
        <w:rPr>
          <w:rFonts w:ascii="Arial" w:hAnsi="Arial" w:cs="Arial"/>
          <w:sz w:val="18"/>
          <w:szCs w:val="18"/>
        </w:rPr>
      </w:pPr>
      <w:r>
        <w:rPr>
          <w:rFonts w:ascii="Arial" w:hAnsi="Arial" w:cs="Arial"/>
          <w:i/>
          <w:iCs/>
          <w:sz w:val="18"/>
          <w:szCs w:val="18"/>
        </w:rPr>
        <w:t>„</w:t>
      </w:r>
      <w:r w:rsidRPr="00F232DC">
        <w:rPr>
          <w:rFonts w:ascii="Arial" w:hAnsi="Arial" w:cs="Arial"/>
          <w:i/>
          <w:iCs/>
          <w:sz w:val="18"/>
          <w:szCs w:val="18"/>
        </w:rPr>
        <w:t>Rok 2020 byl z hlediska prodejů nových bytů třetím nejsilnějším za posledních deset let. Prodeje významně kulminovaly především v posledním čtvrtletí.</w:t>
      </w:r>
      <w:r>
        <w:rPr>
          <w:rFonts w:ascii="Arial" w:hAnsi="Arial" w:cs="Arial"/>
          <w:i/>
          <w:iCs/>
          <w:sz w:val="18"/>
          <w:szCs w:val="18"/>
        </w:rPr>
        <w:t xml:space="preserve"> </w:t>
      </w:r>
      <w:r w:rsidRPr="00F232DC">
        <w:rPr>
          <w:rFonts w:ascii="Arial" w:hAnsi="Arial" w:cs="Arial"/>
          <w:i/>
          <w:iCs/>
          <w:sz w:val="18"/>
          <w:szCs w:val="18"/>
        </w:rPr>
        <w:t>S ohledem na události</w:t>
      </w:r>
      <w:r>
        <w:rPr>
          <w:rFonts w:ascii="Arial" w:hAnsi="Arial" w:cs="Arial"/>
          <w:i/>
          <w:iCs/>
          <w:sz w:val="18"/>
          <w:szCs w:val="18"/>
        </w:rPr>
        <w:t xml:space="preserve"> loňského roku</w:t>
      </w:r>
      <w:r w:rsidRPr="00F232DC">
        <w:rPr>
          <w:rFonts w:ascii="Arial" w:hAnsi="Arial" w:cs="Arial"/>
          <w:i/>
          <w:iCs/>
          <w:sz w:val="18"/>
          <w:szCs w:val="18"/>
        </w:rPr>
        <w:t xml:space="preserve"> to může být překvapením, potvrzuje se však obrovský zájem o nové bydlení v Praze. Lidé vloni byty kupovali jak pro vlastní bydlení, tak pro bezpečné uložení peněz</w:t>
      </w:r>
      <w:r>
        <w:rPr>
          <w:rFonts w:ascii="Arial" w:hAnsi="Arial" w:cs="Arial"/>
          <w:i/>
          <w:iCs/>
          <w:sz w:val="18"/>
          <w:szCs w:val="18"/>
        </w:rPr>
        <w:t>.</w:t>
      </w:r>
      <w:r w:rsidRPr="00F232DC">
        <w:rPr>
          <w:rFonts w:ascii="Arial" w:hAnsi="Arial" w:cs="Arial"/>
          <w:i/>
          <w:iCs/>
          <w:sz w:val="18"/>
          <w:szCs w:val="18"/>
        </w:rPr>
        <w:t xml:space="preserve"> Rostl</w:t>
      </w:r>
      <w:r>
        <w:rPr>
          <w:rFonts w:ascii="Arial" w:hAnsi="Arial" w:cs="Arial"/>
          <w:i/>
          <w:iCs/>
          <w:sz w:val="18"/>
          <w:szCs w:val="18"/>
        </w:rPr>
        <w:t xml:space="preserve"> </w:t>
      </w:r>
      <w:r w:rsidRPr="00F232DC">
        <w:rPr>
          <w:rFonts w:ascii="Arial" w:hAnsi="Arial" w:cs="Arial"/>
          <w:i/>
          <w:iCs/>
          <w:sz w:val="18"/>
          <w:szCs w:val="18"/>
        </w:rPr>
        <w:t>také zájem velkých investorů o nájemní bydlení</w:t>
      </w:r>
      <w:r w:rsidR="00141FE3">
        <w:rPr>
          <w:rFonts w:ascii="Arial" w:hAnsi="Arial" w:cs="Arial"/>
          <w:i/>
          <w:iCs/>
          <w:sz w:val="18"/>
          <w:szCs w:val="18"/>
        </w:rPr>
        <w:t>.</w:t>
      </w:r>
      <w:r>
        <w:rPr>
          <w:rFonts w:ascii="Arial" w:hAnsi="Arial" w:cs="Arial"/>
          <w:i/>
          <w:iCs/>
          <w:sz w:val="18"/>
          <w:szCs w:val="18"/>
        </w:rPr>
        <w:t xml:space="preserve"> </w:t>
      </w:r>
      <w:r w:rsidR="00141FE3">
        <w:rPr>
          <w:rFonts w:ascii="Arial" w:hAnsi="Arial" w:cs="Arial"/>
          <w:i/>
          <w:iCs/>
          <w:sz w:val="18"/>
          <w:szCs w:val="18"/>
        </w:rPr>
        <w:t>A</w:t>
      </w:r>
      <w:r>
        <w:rPr>
          <w:rFonts w:ascii="Arial" w:hAnsi="Arial" w:cs="Arial"/>
          <w:i/>
          <w:iCs/>
          <w:sz w:val="18"/>
          <w:szCs w:val="18"/>
        </w:rPr>
        <w:t xml:space="preserve"> tento trend bude pokračovat</w:t>
      </w:r>
      <w:r w:rsidRPr="00F232DC">
        <w:rPr>
          <w:rFonts w:ascii="Arial" w:hAnsi="Arial" w:cs="Arial"/>
          <w:i/>
          <w:iCs/>
          <w:sz w:val="18"/>
          <w:szCs w:val="18"/>
        </w:rPr>
        <w:t xml:space="preserve">,“ </w:t>
      </w:r>
      <w:r w:rsidRPr="005723C0">
        <w:rPr>
          <w:rFonts w:ascii="Arial" w:hAnsi="Arial" w:cs="Arial"/>
          <w:sz w:val="18"/>
          <w:szCs w:val="18"/>
        </w:rPr>
        <w:t>uvádí Petr Michálek, předseda představenstva Skanska Reality.</w:t>
      </w:r>
      <w:bookmarkStart w:id="0" w:name="_GoBack"/>
      <w:bookmarkEnd w:id="0"/>
    </w:p>
    <w:p w14:paraId="5933C85A" w14:textId="0A16154F" w:rsidR="008C624F" w:rsidRDefault="00685EBA" w:rsidP="00685EBA">
      <w:pPr>
        <w:spacing w:line="360" w:lineRule="auto"/>
        <w:jc w:val="center"/>
        <w:rPr>
          <w:rFonts w:ascii="Arial" w:hAnsi="Arial" w:cs="Arial"/>
          <w:i/>
          <w:iCs/>
          <w:color w:val="FF0000"/>
          <w:sz w:val="18"/>
          <w:szCs w:val="18"/>
        </w:rPr>
      </w:pPr>
      <w:r w:rsidRPr="00685EBA">
        <w:rPr>
          <w:rFonts w:ascii="Arial" w:hAnsi="Arial" w:cs="Arial"/>
          <w:i/>
          <w:iCs/>
          <w:noProof/>
          <w:color w:val="FF0000"/>
          <w:sz w:val="18"/>
          <w:szCs w:val="18"/>
        </w:rPr>
        <w:drawing>
          <wp:inline distT="0" distB="0" distL="0" distR="0" wp14:anchorId="0C3C1C7E" wp14:editId="39738733">
            <wp:extent cx="5562357" cy="2538825"/>
            <wp:effectExtent l="0" t="0" r="635" b="0"/>
            <wp:docPr id="3" name="Obrázek 2">
              <a:extLst xmlns:a="http://schemas.openxmlformats.org/drawingml/2006/main">
                <a:ext uri="{FF2B5EF4-FFF2-40B4-BE49-F238E27FC236}">
                  <a16:creationId xmlns:a16="http://schemas.microsoft.com/office/drawing/2014/main" id="{C91A4C95-6556-4329-99F0-2E5C1C4DD3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C91A4C95-6556-4329-99F0-2E5C1C4DD3FB}"/>
                        </a:ext>
                      </a:extLst>
                    </pic:cNvPr>
                    <pic:cNvPicPr>
                      <a:picLocks noChangeAspect="1"/>
                    </pic:cNvPicPr>
                  </pic:nvPicPr>
                  <pic:blipFill>
                    <a:blip r:embed="rId6"/>
                    <a:stretch>
                      <a:fillRect/>
                    </a:stretch>
                  </pic:blipFill>
                  <pic:spPr>
                    <a:xfrm>
                      <a:off x="0" y="0"/>
                      <a:ext cx="5572387" cy="2543403"/>
                    </a:xfrm>
                    <a:prstGeom prst="rect">
                      <a:avLst/>
                    </a:prstGeom>
                  </pic:spPr>
                </pic:pic>
              </a:graphicData>
            </a:graphic>
          </wp:inline>
        </w:drawing>
      </w:r>
    </w:p>
    <w:p w14:paraId="78976CEB" w14:textId="5A89AA7E" w:rsidR="00685EBA" w:rsidRPr="00685EBA" w:rsidRDefault="00685EBA" w:rsidP="008C624F">
      <w:pPr>
        <w:spacing w:line="360" w:lineRule="auto"/>
        <w:jc w:val="both"/>
        <w:rPr>
          <w:rFonts w:ascii="Arial" w:hAnsi="Arial" w:cs="Arial"/>
          <w:i/>
          <w:iCs/>
          <w:color w:val="0D0D0D" w:themeColor="text1" w:themeTint="F2"/>
          <w:sz w:val="16"/>
          <w:szCs w:val="16"/>
        </w:rPr>
      </w:pPr>
      <w:r w:rsidRPr="00685EBA">
        <w:rPr>
          <w:rFonts w:ascii="Arial" w:hAnsi="Arial" w:cs="Arial"/>
          <w:i/>
          <w:iCs/>
          <w:color w:val="0D0D0D" w:themeColor="text1" w:themeTint="F2"/>
          <w:sz w:val="16"/>
          <w:szCs w:val="16"/>
        </w:rPr>
        <w:t>Zdroj: Trigema, Skanska, Central Group</w:t>
      </w:r>
    </w:p>
    <w:p w14:paraId="4DB4FB5F" w14:textId="77777777" w:rsidR="00685EBA" w:rsidRDefault="00685EBA" w:rsidP="008C624F">
      <w:pPr>
        <w:spacing w:line="360" w:lineRule="auto"/>
        <w:jc w:val="both"/>
        <w:rPr>
          <w:rFonts w:ascii="Arial" w:hAnsi="Arial" w:cs="Arial"/>
          <w:sz w:val="18"/>
          <w:szCs w:val="18"/>
        </w:rPr>
      </w:pPr>
    </w:p>
    <w:p w14:paraId="5E894045" w14:textId="77777777" w:rsidR="00685EBA" w:rsidRDefault="00685EBA" w:rsidP="008C624F">
      <w:pPr>
        <w:spacing w:line="360" w:lineRule="auto"/>
        <w:jc w:val="both"/>
        <w:rPr>
          <w:rFonts w:ascii="Arial" w:hAnsi="Arial" w:cs="Arial"/>
          <w:sz w:val="18"/>
          <w:szCs w:val="18"/>
        </w:rPr>
      </w:pPr>
    </w:p>
    <w:p w14:paraId="3600B4F1" w14:textId="77777777" w:rsidR="00685EBA" w:rsidRDefault="00685EBA" w:rsidP="008C624F">
      <w:pPr>
        <w:spacing w:line="360" w:lineRule="auto"/>
        <w:jc w:val="both"/>
        <w:rPr>
          <w:rFonts w:ascii="Arial" w:hAnsi="Arial" w:cs="Arial"/>
          <w:sz w:val="18"/>
          <w:szCs w:val="18"/>
        </w:rPr>
      </w:pPr>
    </w:p>
    <w:p w14:paraId="73D66CFA" w14:textId="77777777" w:rsidR="00685EBA" w:rsidRDefault="00685EBA" w:rsidP="008C624F">
      <w:pPr>
        <w:spacing w:line="360" w:lineRule="auto"/>
        <w:jc w:val="both"/>
        <w:rPr>
          <w:rFonts w:ascii="Arial" w:hAnsi="Arial" w:cs="Arial"/>
          <w:sz w:val="18"/>
          <w:szCs w:val="18"/>
        </w:rPr>
      </w:pPr>
    </w:p>
    <w:p w14:paraId="329A0175" w14:textId="542A3F97" w:rsidR="008C624F" w:rsidRDefault="008C624F" w:rsidP="008C624F">
      <w:pPr>
        <w:spacing w:line="360" w:lineRule="auto"/>
        <w:jc w:val="both"/>
        <w:rPr>
          <w:rFonts w:ascii="Arial" w:hAnsi="Arial" w:cs="Arial"/>
          <w:sz w:val="18"/>
          <w:szCs w:val="18"/>
        </w:rPr>
      </w:pPr>
      <w:r>
        <w:rPr>
          <w:rFonts w:ascii="Arial" w:hAnsi="Arial" w:cs="Arial"/>
          <w:sz w:val="18"/>
          <w:szCs w:val="18"/>
        </w:rPr>
        <w:t>Průměrná cena za prodaný nový byt dosáhla v metropoli v posledním čtvrtletí minulého roku na 107 877 korun za m</w:t>
      </w:r>
      <w:r w:rsidRPr="007A001D">
        <w:rPr>
          <w:rFonts w:ascii="Arial" w:hAnsi="Arial" w:cs="Arial"/>
          <w:sz w:val="18"/>
          <w:szCs w:val="18"/>
          <w:vertAlign w:val="superscript"/>
        </w:rPr>
        <w:t>2</w:t>
      </w:r>
      <w:r>
        <w:rPr>
          <w:rFonts w:ascii="Arial" w:hAnsi="Arial" w:cs="Arial"/>
          <w:sz w:val="18"/>
          <w:szCs w:val="18"/>
        </w:rPr>
        <w:t xml:space="preserve">, což je o 2 </w:t>
      </w:r>
      <w:r w:rsidR="00E75C2F">
        <w:rPr>
          <w:rFonts w:ascii="Arial" w:hAnsi="Arial" w:cs="Arial"/>
          <w:sz w:val="18"/>
          <w:szCs w:val="18"/>
        </w:rPr>
        <w:t>procenta</w:t>
      </w:r>
      <w:r>
        <w:rPr>
          <w:rFonts w:ascii="Arial" w:hAnsi="Arial" w:cs="Arial"/>
          <w:sz w:val="18"/>
          <w:szCs w:val="18"/>
        </w:rPr>
        <w:t xml:space="preserve"> méně než v předchozím čtvrtletí. Ve srovnání se stejným obdobím loňského roku se ale jedná o nárůst o 2,2 </w:t>
      </w:r>
      <w:r w:rsidR="00E75C2F">
        <w:rPr>
          <w:rFonts w:ascii="Arial" w:hAnsi="Arial" w:cs="Arial"/>
          <w:sz w:val="18"/>
          <w:szCs w:val="18"/>
        </w:rPr>
        <w:t>procenta</w:t>
      </w:r>
      <w:r>
        <w:rPr>
          <w:rFonts w:ascii="Arial" w:hAnsi="Arial" w:cs="Arial"/>
          <w:sz w:val="18"/>
          <w:szCs w:val="18"/>
        </w:rPr>
        <w:t>. Nejdražší byly čtyřpokojové a větší byty, u kterých průměrná cena dosáhla na 119 877 korun za m2. U jednopokojových to bylo 116 542, u dvoupokojových 105 081 a třípokojových 104 343 korun na m</w:t>
      </w:r>
      <w:r w:rsidRPr="007A001D">
        <w:rPr>
          <w:rFonts w:ascii="Arial" w:hAnsi="Arial" w:cs="Arial"/>
          <w:sz w:val="18"/>
          <w:szCs w:val="18"/>
          <w:vertAlign w:val="superscript"/>
        </w:rPr>
        <w:t>2</w:t>
      </w:r>
      <w:r>
        <w:rPr>
          <w:rFonts w:ascii="Arial" w:hAnsi="Arial" w:cs="Arial"/>
          <w:sz w:val="18"/>
          <w:szCs w:val="18"/>
        </w:rPr>
        <w:t>. Nejvíce prodaných bytů bylo opět dvoupokojových. Jejich celková cena přitom v průměru dosáhla na téměř 5,8 milionů korun.</w:t>
      </w:r>
    </w:p>
    <w:p w14:paraId="5936BA65" w14:textId="77777777" w:rsidR="008C624F" w:rsidRDefault="008C624F" w:rsidP="008C624F">
      <w:pPr>
        <w:spacing w:before="100" w:beforeAutospacing="1" w:after="100" w:afterAutospacing="1" w:line="330" w:lineRule="atLeast"/>
        <w:jc w:val="both"/>
        <w:rPr>
          <w:rFonts w:ascii="Calibri" w:hAnsi="Calibri" w:cs="Calibri"/>
        </w:rPr>
      </w:pPr>
      <w:r>
        <w:rPr>
          <w:rFonts w:ascii="Arial" w:hAnsi="Arial" w:cs="Arial"/>
          <w:i/>
          <w:iCs/>
          <w:sz w:val="18"/>
          <w:szCs w:val="18"/>
        </w:rPr>
        <w:t>„Prodejní cena nových bytů v Praze se za posledních 5 let téměř zdvojnásobila. Důvodem je trvající vysoká poptávka a zároveň velmi omezená nabídka nových bytů z důvodu jejich pomalého povolování. Zásadně také vzrostly ceny stavebních prací a pozemků. Tempo růstu cen nových bytů ale v poslední době zpomaluje. Zatímco ještě před dvěma lety byl meziroční růst okolo 19 procent, v roce 2019 to bylo okolo čtyř procent a v loňském roce již ceny rostly jen dvouprocentním tempem. Tento trend bude pokračovat i nadále a v následujícím roce až dvou proto očekáváme spíše stagnaci cen,“ </w:t>
      </w:r>
      <w:r>
        <w:rPr>
          <w:rFonts w:ascii="Arial" w:hAnsi="Arial" w:cs="Arial"/>
          <w:sz w:val="18"/>
          <w:szCs w:val="18"/>
        </w:rPr>
        <w:t>říká zakladatel a šéf Central Group Dušan Kunovský</w:t>
      </w:r>
      <w:r>
        <w:rPr>
          <w:rFonts w:ascii="Arial" w:hAnsi="Arial" w:cs="Arial"/>
          <w:i/>
          <w:iCs/>
          <w:sz w:val="18"/>
          <w:szCs w:val="18"/>
        </w:rPr>
        <w:t>.</w:t>
      </w:r>
    </w:p>
    <w:p w14:paraId="2399AD2E" w14:textId="55E4C79B" w:rsidR="008C624F" w:rsidRPr="000120B1" w:rsidRDefault="007A001D" w:rsidP="007A001D">
      <w:pPr>
        <w:spacing w:line="360" w:lineRule="auto"/>
        <w:jc w:val="center"/>
        <w:rPr>
          <w:rFonts w:ascii="Arial" w:hAnsi="Arial" w:cs="Arial"/>
          <w:i/>
          <w:iCs/>
          <w:color w:val="FF0000"/>
          <w:sz w:val="18"/>
          <w:szCs w:val="18"/>
        </w:rPr>
      </w:pPr>
      <w:r>
        <w:rPr>
          <w:noProof/>
        </w:rPr>
        <w:drawing>
          <wp:inline distT="0" distB="0" distL="0" distR="0" wp14:anchorId="15A6D58B" wp14:editId="55AC812F">
            <wp:extent cx="5124450" cy="27908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4450" cy="2790825"/>
                    </a:xfrm>
                    <a:prstGeom prst="rect">
                      <a:avLst/>
                    </a:prstGeom>
                    <a:noFill/>
                    <a:ln>
                      <a:noFill/>
                    </a:ln>
                  </pic:spPr>
                </pic:pic>
              </a:graphicData>
            </a:graphic>
          </wp:inline>
        </w:drawing>
      </w:r>
    </w:p>
    <w:p w14:paraId="244DE444" w14:textId="77777777" w:rsidR="007A001D" w:rsidRPr="00685EBA" w:rsidRDefault="007A001D" w:rsidP="007A001D">
      <w:pPr>
        <w:spacing w:line="360" w:lineRule="auto"/>
        <w:jc w:val="both"/>
        <w:rPr>
          <w:rFonts w:ascii="Arial" w:hAnsi="Arial" w:cs="Arial"/>
          <w:i/>
          <w:iCs/>
          <w:color w:val="0D0D0D" w:themeColor="text1" w:themeTint="F2"/>
          <w:sz w:val="16"/>
          <w:szCs w:val="16"/>
        </w:rPr>
      </w:pPr>
      <w:r w:rsidRPr="00685EBA">
        <w:rPr>
          <w:rFonts w:ascii="Arial" w:hAnsi="Arial" w:cs="Arial"/>
          <w:i/>
          <w:iCs/>
          <w:color w:val="0D0D0D" w:themeColor="text1" w:themeTint="F2"/>
          <w:sz w:val="16"/>
          <w:szCs w:val="16"/>
        </w:rPr>
        <w:t>Zdroj: Trigema, Skanska, Central Group</w:t>
      </w:r>
    </w:p>
    <w:p w14:paraId="7A6F72B2" w14:textId="7F69B91D" w:rsidR="008C624F" w:rsidRDefault="008C624F" w:rsidP="008C624F">
      <w:pPr>
        <w:spacing w:line="360" w:lineRule="auto"/>
        <w:jc w:val="both"/>
        <w:rPr>
          <w:rFonts w:ascii="Arial" w:hAnsi="Arial" w:cs="Arial"/>
          <w:sz w:val="18"/>
          <w:szCs w:val="18"/>
        </w:rPr>
      </w:pPr>
      <w:r>
        <w:rPr>
          <w:rFonts w:ascii="Arial" w:hAnsi="Arial" w:cs="Arial"/>
          <w:sz w:val="18"/>
          <w:szCs w:val="18"/>
        </w:rPr>
        <w:t xml:space="preserve">Hlad po bytech současně způsobil nižší nabídku volných nemovitostí. Ke konci roku jich proto bylo nabízeno pouze 4 950. To je stejně nízké číslo jako před rokem. Na konci prvního čtvrtletí minulého roku to bylo dokonce jen 4 750 bytů. Během uplynulých 12 měsíců tak nabídka oscilovala mezi 4 750 a 5 700 jednotkami. Právě tolik se jich inzerovalo loni na konci třetího kvartálu. </w:t>
      </w:r>
    </w:p>
    <w:p w14:paraId="20901C1D" w14:textId="77777777" w:rsidR="008C624F" w:rsidRPr="007624DB" w:rsidRDefault="008C624F" w:rsidP="008C624F">
      <w:pPr>
        <w:spacing w:line="360" w:lineRule="auto"/>
        <w:jc w:val="both"/>
        <w:rPr>
          <w:rFonts w:ascii="Arial" w:hAnsi="Arial" w:cs="Arial"/>
          <w:i/>
          <w:iCs/>
          <w:color w:val="0D0D0D" w:themeColor="text1" w:themeTint="F2"/>
          <w:sz w:val="18"/>
          <w:szCs w:val="18"/>
        </w:rPr>
      </w:pPr>
      <w:r>
        <w:rPr>
          <w:rFonts w:ascii="Arial" w:hAnsi="Arial" w:cs="Arial"/>
          <w:color w:val="0D0D0D" w:themeColor="text1" w:themeTint="F2"/>
          <w:sz w:val="18"/>
          <w:szCs w:val="18"/>
        </w:rPr>
        <w:lastRenderedPageBreak/>
        <w:t>„</w:t>
      </w:r>
      <w:r w:rsidRPr="006773E2">
        <w:rPr>
          <w:rFonts w:ascii="Arial" w:hAnsi="Arial" w:cs="Arial"/>
          <w:i/>
          <w:iCs/>
          <w:color w:val="0D0D0D" w:themeColor="text1" w:themeTint="F2"/>
          <w:sz w:val="18"/>
          <w:szCs w:val="18"/>
        </w:rPr>
        <w:t>Zájem o byty stlačil jejich nabídku na jednu z nejnižších úrovní, jakou jsme v posledních letech zaznamenali. To ukazuje, jak je bydlení pro velkou část veřejnosti důležité. Byty tak zůstávají komoditou, do níž se vyplatí investovat. Méně potěšující je ale fakt, že se stále nedaří proces povolování nových projektů zjednodušit a zrychlit. To může v příštím období způsobit další nedostatek bytů na trhu</w:t>
      </w:r>
      <w:r>
        <w:rPr>
          <w:rFonts w:ascii="Arial" w:hAnsi="Arial" w:cs="Arial"/>
          <w:i/>
          <w:iCs/>
          <w:color w:val="0D0D0D" w:themeColor="text1" w:themeTint="F2"/>
          <w:sz w:val="18"/>
          <w:szCs w:val="18"/>
        </w:rPr>
        <w:t>. Také mimo Prahu je po novém bydlení vyšší poptávka, což ovlivňuje i počet nabízených bytů. Ten zde v posledních měsících spíše klesá. Zejména v okolí hlavního města, na jižní Moravě a Plzni</w:t>
      </w:r>
      <w:r>
        <w:rPr>
          <w:rFonts w:ascii="Arial" w:hAnsi="Arial" w:cs="Arial"/>
          <w:color w:val="0D0D0D" w:themeColor="text1" w:themeTint="F2"/>
          <w:sz w:val="18"/>
          <w:szCs w:val="18"/>
        </w:rPr>
        <w:t>,“ dodává Marcel Soural, předseda představenstva společnosti Trigema.</w:t>
      </w:r>
    </w:p>
    <w:p w14:paraId="53934B57" w14:textId="729300BA" w:rsidR="008C624F" w:rsidRPr="0059330A" w:rsidRDefault="00730094" w:rsidP="008C624F">
      <w:pPr>
        <w:spacing w:line="360" w:lineRule="auto"/>
        <w:jc w:val="both"/>
        <w:rPr>
          <w:rFonts w:ascii="Arial" w:hAnsi="Arial" w:cs="Arial"/>
          <w:i/>
          <w:iCs/>
          <w:color w:val="FF0000"/>
          <w:sz w:val="18"/>
          <w:szCs w:val="18"/>
        </w:rPr>
      </w:pPr>
      <w:r>
        <w:rPr>
          <w:noProof/>
        </w:rPr>
        <w:drawing>
          <wp:inline distT="0" distB="0" distL="0" distR="0" wp14:anchorId="09CFA1B4" wp14:editId="1AD58E8B">
            <wp:extent cx="7973746" cy="4484855"/>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6585" cy="4537073"/>
                    </a:xfrm>
                    <a:prstGeom prst="rect">
                      <a:avLst/>
                    </a:prstGeom>
                    <a:noFill/>
                    <a:ln>
                      <a:noFill/>
                    </a:ln>
                  </pic:spPr>
                </pic:pic>
              </a:graphicData>
            </a:graphic>
          </wp:inline>
        </w:drawing>
      </w:r>
    </w:p>
    <w:p w14:paraId="54BE3B65" w14:textId="74F0D6B0" w:rsidR="008C624F" w:rsidRDefault="008C624F" w:rsidP="008C624F">
      <w:pPr>
        <w:spacing w:line="360" w:lineRule="auto"/>
        <w:jc w:val="both"/>
        <w:rPr>
          <w:rFonts w:ascii="Arial" w:hAnsi="Arial" w:cs="Arial"/>
          <w:color w:val="0D0D0D" w:themeColor="text1" w:themeTint="F2"/>
          <w:sz w:val="18"/>
          <w:szCs w:val="18"/>
        </w:rPr>
      </w:pPr>
      <w:r>
        <w:rPr>
          <w:rFonts w:ascii="Arial" w:hAnsi="Arial" w:cs="Arial"/>
          <w:color w:val="0D0D0D" w:themeColor="text1" w:themeTint="F2"/>
          <w:sz w:val="18"/>
          <w:szCs w:val="18"/>
        </w:rPr>
        <w:t>V regionech se v posledních měsících minulého roku prodalo o 322 bytů více než v předchozím čtvrtletí. Celkově se jednalo o 2047 jednotek</w:t>
      </w:r>
      <w:r w:rsidR="00141FE3">
        <w:rPr>
          <w:rFonts w:ascii="Arial" w:hAnsi="Arial" w:cs="Arial"/>
          <w:color w:val="0D0D0D" w:themeColor="text1" w:themeTint="F2"/>
          <w:sz w:val="18"/>
          <w:szCs w:val="18"/>
        </w:rPr>
        <w:t>, zjistila analýza Trigemy a realitního agregátoru Flat Zone</w:t>
      </w:r>
      <w:r>
        <w:rPr>
          <w:rFonts w:ascii="Arial" w:hAnsi="Arial" w:cs="Arial"/>
          <w:color w:val="0D0D0D" w:themeColor="text1" w:themeTint="F2"/>
          <w:sz w:val="18"/>
          <w:szCs w:val="18"/>
        </w:rPr>
        <w:t xml:space="preserve">. Nejvíce z toho připadlo na Jihomoravský kraj, kde si zájemce našlo hned 523 bytů. Ve středních Čechách to bylo 425 a na Plzeňsku 253 bytů. Na Olomoucku to bylo 240 bytů. Byt mimo Prahu se prodával v průměru za </w:t>
      </w:r>
      <w:r w:rsidRPr="00E043A9">
        <w:rPr>
          <w:rFonts w:ascii="Arial" w:hAnsi="Arial" w:cs="Arial"/>
          <w:color w:val="0D0D0D" w:themeColor="text1" w:themeTint="F2"/>
          <w:sz w:val="18"/>
          <w:szCs w:val="18"/>
        </w:rPr>
        <w:t>65</w:t>
      </w:r>
      <w:r>
        <w:rPr>
          <w:rFonts w:ascii="Arial" w:hAnsi="Arial" w:cs="Arial"/>
          <w:color w:val="0D0D0D" w:themeColor="text1" w:themeTint="F2"/>
          <w:sz w:val="18"/>
          <w:szCs w:val="18"/>
        </w:rPr>
        <w:t> </w:t>
      </w:r>
      <w:r w:rsidRPr="00E043A9">
        <w:rPr>
          <w:rFonts w:ascii="Arial" w:hAnsi="Arial" w:cs="Arial"/>
          <w:color w:val="0D0D0D" w:themeColor="text1" w:themeTint="F2"/>
          <w:sz w:val="18"/>
          <w:szCs w:val="18"/>
        </w:rPr>
        <w:t>572</w:t>
      </w:r>
      <w:r>
        <w:rPr>
          <w:rFonts w:ascii="Arial" w:hAnsi="Arial" w:cs="Arial"/>
          <w:color w:val="0D0D0D" w:themeColor="text1" w:themeTint="F2"/>
          <w:sz w:val="18"/>
          <w:szCs w:val="18"/>
        </w:rPr>
        <w:t xml:space="preserve"> korun na m</w:t>
      </w:r>
      <w:r w:rsidRPr="003044B6">
        <w:rPr>
          <w:rFonts w:ascii="Arial" w:hAnsi="Arial" w:cs="Arial"/>
          <w:color w:val="0D0D0D" w:themeColor="text1" w:themeTint="F2"/>
          <w:sz w:val="18"/>
          <w:szCs w:val="18"/>
          <w:vertAlign w:val="superscript"/>
        </w:rPr>
        <w:t>2</w:t>
      </w:r>
      <w:r>
        <w:rPr>
          <w:rFonts w:ascii="Arial" w:hAnsi="Arial" w:cs="Arial"/>
          <w:color w:val="0D0D0D" w:themeColor="text1" w:themeTint="F2"/>
          <w:sz w:val="18"/>
          <w:szCs w:val="18"/>
        </w:rPr>
        <w:t>, což je o 2,1 procenta více než v předešlém kvartálu. Meziročně se tato cena zvedla o 16,3 procenta. Za celý rok prodeje dosáhly na 7 093 jednotek. Rok předtím to bylo jen 4 375 bytů.</w:t>
      </w:r>
    </w:p>
    <w:p w14:paraId="20F97606" w14:textId="6E598132" w:rsidR="008C624F" w:rsidRPr="001A0E33" w:rsidRDefault="008C624F" w:rsidP="008C624F">
      <w:pPr>
        <w:spacing w:line="360" w:lineRule="auto"/>
        <w:jc w:val="both"/>
        <w:rPr>
          <w:rFonts w:ascii="Arial" w:hAnsi="Arial" w:cs="Arial"/>
          <w:color w:val="0D0D0D" w:themeColor="text1" w:themeTint="F2"/>
          <w:sz w:val="18"/>
          <w:szCs w:val="18"/>
        </w:rPr>
      </w:pPr>
      <w:r>
        <w:rPr>
          <w:rFonts w:ascii="Arial" w:hAnsi="Arial" w:cs="Arial"/>
          <w:color w:val="0D0D0D" w:themeColor="text1" w:themeTint="F2"/>
          <w:sz w:val="18"/>
          <w:szCs w:val="18"/>
        </w:rPr>
        <w:t xml:space="preserve">V nabídkách bylo oproti konci předchozího kvartálu naopak o téměř 520 bytů méně. V Jihomoravském kraji, kde se tentokrát nabízelo 1107 jednotek, byl tento pokles největší – na trhu tu ubylo 224 bytů. Ve středních Čech bylo dostupných 1 388 jednotek, tedy o 184 </w:t>
      </w:r>
      <w:r w:rsidR="00141FE3">
        <w:rPr>
          <w:rFonts w:ascii="Arial" w:hAnsi="Arial" w:cs="Arial"/>
          <w:color w:val="0D0D0D" w:themeColor="text1" w:themeTint="F2"/>
          <w:sz w:val="18"/>
          <w:szCs w:val="18"/>
        </w:rPr>
        <w:t xml:space="preserve">méně </w:t>
      </w:r>
      <w:r>
        <w:rPr>
          <w:rFonts w:ascii="Arial" w:hAnsi="Arial" w:cs="Arial"/>
          <w:color w:val="0D0D0D" w:themeColor="text1" w:themeTint="F2"/>
          <w:sz w:val="18"/>
          <w:szCs w:val="18"/>
        </w:rPr>
        <w:t>než na konci 3. čtvrtletí. Na Plzeňsku s nabídkou 447 jednotek činilo mezikvartální snížení 91 bytů.</w:t>
      </w:r>
    </w:p>
    <w:p w14:paraId="0F074B5A" w14:textId="77777777" w:rsidR="008C624F" w:rsidRDefault="008C624F" w:rsidP="008C624F">
      <w:pPr>
        <w:pBdr>
          <w:top w:val="single" w:sz="4" w:space="1" w:color="auto"/>
        </w:pBdr>
      </w:pPr>
    </w:p>
    <w:p w14:paraId="1D36C766" w14:textId="77777777" w:rsidR="004728A0" w:rsidRPr="002721AB" w:rsidRDefault="004728A0" w:rsidP="004728A0">
      <w:pPr>
        <w:spacing w:after="240" w:line="360" w:lineRule="auto"/>
        <w:jc w:val="both"/>
        <w:rPr>
          <w:rFonts w:ascii="Arial" w:hAnsi="Arial" w:cs="Arial"/>
          <w:b/>
          <w:sz w:val="18"/>
          <w:szCs w:val="18"/>
        </w:rPr>
      </w:pPr>
      <w:r w:rsidRPr="002721AB">
        <w:rPr>
          <w:rFonts w:ascii="Arial" w:hAnsi="Arial" w:cs="Arial"/>
          <w:b/>
          <w:sz w:val="18"/>
          <w:szCs w:val="18"/>
        </w:rPr>
        <w:t>Kontakty pro média:</w:t>
      </w:r>
    </w:p>
    <w:p w14:paraId="598C4A9A" w14:textId="77777777" w:rsidR="004728A0" w:rsidRPr="00FD1529" w:rsidRDefault="004728A0" w:rsidP="004728A0">
      <w:pPr>
        <w:spacing w:after="0" w:line="360" w:lineRule="auto"/>
        <w:jc w:val="both"/>
        <w:rPr>
          <w:rFonts w:ascii="Arial" w:hAnsi="Arial" w:cs="Arial"/>
          <w:i/>
          <w:sz w:val="18"/>
          <w:szCs w:val="18"/>
        </w:rPr>
      </w:pPr>
      <w:r w:rsidRPr="002721AB">
        <w:rPr>
          <w:rFonts w:ascii="Arial" w:hAnsi="Arial" w:cs="Arial"/>
          <w:b/>
          <w:i/>
          <w:sz w:val="18"/>
          <w:szCs w:val="18"/>
        </w:rPr>
        <w:t>Trigema</w:t>
      </w:r>
      <w:r w:rsidRPr="002721AB">
        <w:rPr>
          <w:rFonts w:ascii="Arial" w:hAnsi="Arial" w:cs="Arial"/>
          <w:i/>
          <w:sz w:val="18"/>
          <w:szCs w:val="18"/>
        </w:rPr>
        <w:t xml:space="preserve">: </w:t>
      </w:r>
      <w:r w:rsidRPr="002721AB">
        <w:rPr>
          <w:rFonts w:ascii="Arial" w:hAnsi="Arial" w:cs="Arial"/>
          <w:i/>
          <w:sz w:val="18"/>
          <w:szCs w:val="18"/>
        </w:rPr>
        <w:tab/>
      </w:r>
      <w:r w:rsidRPr="002721AB">
        <w:rPr>
          <w:rFonts w:ascii="Arial" w:hAnsi="Arial" w:cs="Arial"/>
          <w:i/>
          <w:sz w:val="18"/>
          <w:szCs w:val="18"/>
        </w:rPr>
        <w:tab/>
      </w:r>
      <w:r w:rsidR="00F0236C">
        <w:rPr>
          <w:rFonts w:ascii="Arial" w:hAnsi="Arial" w:cs="Arial"/>
          <w:i/>
          <w:sz w:val="18"/>
          <w:szCs w:val="18"/>
        </w:rPr>
        <w:t xml:space="preserve">       </w:t>
      </w:r>
      <w:r w:rsidRPr="00FD1529">
        <w:rPr>
          <w:rFonts w:ascii="Arial" w:hAnsi="Arial" w:cs="Arial"/>
          <w:i/>
          <w:sz w:val="18"/>
          <w:szCs w:val="18"/>
        </w:rPr>
        <w:t xml:space="preserve">Radek Polák, tiskový mluvčí, tel: 778 747 113, </w:t>
      </w:r>
      <w:hyperlink r:id="rId9" w:history="1">
        <w:r w:rsidRPr="00FD1529">
          <w:rPr>
            <w:rStyle w:val="Hypertextovodkaz"/>
            <w:rFonts w:ascii="Arial" w:hAnsi="Arial" w:cs="Arial"/>
            <w:i/>
            <w:sz w:val="18"/>
            <w:szCs w:val="18"/>
          </w:rPr>
          <w:t>polak@trigema.cz</w:t>
        </w:r>
      </w:hyperlink>
    </w:p>
    <w:p w14:paraId="7616D8C6" w14:textId="77777777" w:rsidR="00FD1529" w:rsidRPr="00FD1529" w:rsidRDefault="004728A0" w:rsidP="00FD1529">
      <w:pPr>
        <w:spacing w:after="0" w:line="360" w:lineRule="auto"/>
        <w:ind w:left="2124" w:hanging="2124"/>
        <w:rPr>
          <w:rFonts w:ascii="Arial" w:hAnsi="Arial" w:cs="Arial"/>
          <w:i/>
          <w:sz w:val="18"/>
          <w:szCs w:val="18"/>
        </w:rPr>
      </w:pPr>
      <w:r w:rsidRPr="00FD1529">
        <w:rPr>
          <w:rFonts w:ascii="Arial" w:hAnsi="Arial" w:cs="Arial"/>
          <w:b/>
          <w:i/>
          <w:sz w:val="18"/>
          <w:szCs w:val="18"/>
        </w:rPr>
        <w:t>Skanska Reality</w:t>
      </w:r>
      <w:r w:rsidRPr="00FD1529">
        <w:rPr>
          <w:rFonts w:ascii="Arial" w:hAnsi="Arial" w:cs="Arial"/>
          <w:i/>
          <w:sz w:val="18"/>
          <w:szCs w:val="18"/>
        </w:rPr>
        <w:t xml:space="preserve">: </w:t>
      </w:r>
      <w:r w:rsidRPr="00FD1529">
        <w:rPr>
          <w:rFonts w:ascii="Arial" w:hAnsi="Arial" w:cs="Arial"/>
          <w:i/>
          <w:sz w:val="18"/>
          <w:szCs w:val="18"/>
        </w:rPr>
        <w:tab/>
      </w:r>
      <w:r w:rsidR="00F0236C" w:rsidRPr="00FD1529">
        <w:rPr>
          <w:rFonts w:ascii="Arial" w:hAnsi="Arial" w:cs="Arial"/>
          <w:i/>
          <w:sz w:val="18"/>
          <w:szCs w:val="18"/>
        </w:rPr>
        <w:t xml:space="preserve">       </w:t>
      </w:r>
      <w:r w:rsidR="00FD1529" w:rsidRPr="00FD1529">
        <w:rPr>
          <w:rFonts w:ascii="Arial" w:hAnsi="Arial" w:cs="Arial"/>
          <w:i/>
          <w:iCs/>
          <w:sz w:val="18"/>
          <w:szCs w:val="18"/>
          <w:lang w:eastAsia="cs-CZ"/>
        </w:rPr>
        <w:t>Renata Vildomcová, ředitelka marketingu a komunikace</w:t>
      </w:r>
      <w:r w:rsidR="00FD1529" w:rsidRPr="00FD1529">
        <w:rPr>
          <w:rFonts w:ascii="Arial" w:hAnsi="Arial" w:cs="Arial"/>
          <w:i/>
          <w:iCs/>
          <w:sz w:val="18"/>
          <w:szCs w:val="18"/>
        </w:rPr>
        <w:t>,</w:t>
      </w:r>
      <w:r w:rsidR="00FD1529" w:rsidRPr="00FD1529">
        <w:rPr>
          <w:rFonts w:ascii="Arial" w:hAnsi="Arial" w:cs="Arial"/>
          <w:i/>
          <w:sz w:val="18"/>
          <w:szCs w:val="18"/>
        </w:rPr>
        <w:t xml:space="preserve">                     </w:t>
      </w:r>
    </w:p>
    <w:p w14:paraId="6587142C" w14:textId="77777777" w:rsidR="00FD1529" w:rsidRPr="00FD1529" w:rsidRDefault="00FD1529" w:rsidP="00FD1529">
      <w:pPr>
        <w:spacing w:after="0" w:line="360" w:lineRule="auto"/>
        <w:ind w:left="2124" w:hanging="2124"/>
        <w:rPr>
          <w:rFonts w:ascii="Arial" w:eastAsia="Times New Roman" w:hAnsi="Arial" w:cs="Arial"/>
          <w:i/>
          <w:iCs/>
          <w:sz w:val="18"/>
          <w:szCs w:val="18"/>
          <w:lang w:eastAsia="cs-CZ"/>
        </w:rPr>
      </w:pPr>
      <w:r w:rsidRPr="00FD1529">
        <w:rPr>
          <w:rFonts w:ascii="Arial" w:hAnsi="Arial" w:cs="Arial"/>
          <w:b/>
          <w:i/>
          <w:sz w:val="18"/>
          <w:szCs w:val="18"/>
        </w:rPr>
        <w:t xml:space="preserve">                                    </w:t>
      </w:r>
      <w:r w:rsidRPr="00FD1529">
        <w:rPr>
          <w:rFonts w:ascii="Arial" w:hAnsi="Arial" w:cs="Arial"/>
          <w:i/>
          <w:sz w:val="18"/>
          <w:szCs w:val="18"/>
        </w:rPr>
        <w:t xml:space="preserve">       </w:t>
      </w:r>
      <w:r>
        <w:rPr>
          <w:rFonts w:ascii="Arial" w:hAnsi="Arial" w:cs="Arial"/>
          <w:i/>
          <w:sz w:val="18"/>
          <w:szCs w:val="18"/>
        </w:rPr>
        <w:t xml:space="preserve">     </w:t>
      </w:r>
      <w:r w:rsidRPr="00FD1529">
        <w:rPr>
          <w:rFonts w:ascii="Arial" w:hAnsi="Arial" w:cs="Arial"/>
          <w:i/>
          <w:sz w:val="18"/>
          <w:szCs w:val="18"/>
        </w:rPr>
        <w:t xml:space="preserve"> tel: </w:t>
      </w:r>
      <w:r w:rsidRPr="00FD1529">
        <w:rPr>
          <w:rFonts w:ascii="Arial" w:hAnsi="Arial" w:cs="Arial"/>
          <w:i/>
          <w:iCs/>
          <w:color w:val="0D0D0D" w:themeColor="text1" w:themeTint="F2"/>
          <w:sz w:val="18"/>
          <w:szCs w:val="18"/>
          <w:lang w:eastAsia="cs-CZ"/>
        </w:rPr>
        <w:t>739 501 655</w:t>
      </w:r>
      <w:r w:rsidRPr="00FD1529">
        <w:rPr>
          <w:rFonts w:ascii="Arial" w:hAnsi="Arial" w:cs="Arial"/>
          <w:i/>
          <w:iCs/>
          <w:color w:val="0D0D0D" w:themeColor="text1" w:themeTint="F2"/>
          <w:sz w:val="18"/>
          <w:szCs w:val="18"/>
        </w:rPr>
        <w:t xml:space="preserve"> 776 457 429</w:t>
      </w:r>
      <w:r w:rsidRPr="00FD1529">
        <w:rPr>
          <w:rFonts w:ascii="Arial" w:hAnsi="Arial" w:cs="Arial"/>
          <w:i/>
          <w:sz w:val="18"/>
          <w:szCs w:val="18"/>
        </w:rPr>
        <w:t xml:space="preserve">, </w:t>
      </w:r>
      <w:hyperlink r:id="rId10" w:history="1">
        <w:r w:rsidRPr="00FD1529">
          <w:rPr>
            <w:rStyle w:val="Hypertextovodkaz"/>
            <w:rFonts w:ascii="Arial" w:eastAsia="Times New Roman" w:hAnsi="Arial" w:cs="Arial"/>
            <w:i/>
            <w:iCs/>
            <w:sz w:val="18"/>
            <w:szCs w:val="18"/>
            <w:lang w:eastAsia="cs-CZ"/>
          </w:rPr>
          <w:t>renata.vildomcova@skanska.cz</w:t>
        </w:r>
      </w:hyperlink>
    </w:p>
    <w:p w14:paraId="0A1DB9B9" w14:textId="77777777" w:rsidR="004100F4" w:rsidRPr="00FD1529" w:rsidRDefault="004728A0" w:rsidP="00687C0C">
      <w:pPr>
        <w:spacing w:after="0" w:line="360" w:lineRule="auto"/>
        <w:jc w:val="both"/>
        <w:rPr>
          <w:rFonts w:ascii="Arial" w:hAnsi="Arial" w:cs="Arial"/>
          <w:i/>
          <w:sz w:val="18"/>
          <w:szCs w:val="18"/>
        </w:rPr>
      </w:pPr>
      <w:r w:rsidRPr="00FD1529">
        <w:rPr>
          <w:rFonts w:ascii="Arial" w:hAnsi="Arial" w:cs="Arial"/>
          <w:b/>
          <w:i/>
          <w:sz w:val="18"/>
          <w:szCs w:val="18"/>
        </w:rPr>
        <w:t>Central Group</w:t>
      </w:r>
      <w:r w:rsidR="005A0D82" w:rsidRPr="00FD1529">
        <w:rPr>
          <w:rFonts w:ascii="Arial" w:hAnsi="Arial" w:cs="Arial"/>
          <w:i/>
          <w:sz w:val="18"/>
          <w:szCs w:val="18"/>
        </w:rPr>
        <w:t xml:space="preserve">: </w:t>
      </w:r>
      <w:r w:rsidR="004100F4" w:rsidRPr="00FD1529">
        <w:rPr>
          <w:rFonts w:ascii="Arial" w:hAnsi="Arial" w:cs="Arial"/>
          <w:i/>
          <w:sz w:val="18"/>
          <w:szCs w:val="18"/>
        </w:rPr>
        <w:t xml:space="preserve">    </w:t>
      </w:r>
      <w:r w:rsidR="00F0236C" w:rsidRPr="00FD1529">
        <w:rPr>
          <w:rFonts w:ascii="Arial" w:hAnsi="Arial" w:cs="Arial"/>
          <w:i/>
          <w:sz w:val="18"/>
          <w:szCs w:val="18"/>
        </w:rPr>
        <w:t xml:space="preserve">  </w:t>
      </w:r>
      <w:r w:rsidR="00687C0C" w:rsidRPr="00FD1529">
        <w:rPr>
          <w:rFonts w:ascii="Arial" w:hAnsi="Arial" w:cs="Arial"/>
          <w:i/>
          <w:sz w:val="18"/>
          <w:szCs w:val="18"/>
        </w:rPr>
        <w:t xml:space="preserve">                </w:t>
      </w:r>
      <w:r w:rsidR="00FD1529">
        <w:rPr>
          <w:rFonts w:ascii="Arial" w:hAnsi="Arial" w:cs="Arial"/>
          <w:i/>
          <w:sz w:val="18"/>
          <w:szCs w:val="18"/>
        </w:rPr>
        <w:t xml:space="preserve"> </w:t>
      </w:r>
      <w:r w:rsidR="004100F4" w:rsidRPr="00FD1529">
        <w:rPr>
          <w:rFonts w:ascii="Arial" w:hAnsi="Arial" w:cs="Arial"/>
          <w:i/>
          <w:sz w:val="18"/>
          <w:szCs w:val="18"/>
        </w:rPr>
        <w:t>Ondřej Šťastný, vedoucí úseku analytiky a komunikace, tel. 604 645 424,</w:t>
      </w:r>
      <w:r w:rsidR="00F0236C" w:rsidRPr="00FD1529">
        <w:rPr>
          <w:rFonts w:ascii="Arial" w:hAnsi="Arial" w:cs="Arial"/>
          <w:i/>
          <w:sz w:val="18"/>
          <w:szCs w:val="18"/>
        </w:rPr>
        <w:t xml:space="preserve">      </w:t>
      </w:r>
      <w:r w:rsidR="00687C0C" w:rsidRPr="00FD1529">
        <w:rPr>
          <w:rFonts w:ascii="Arial" w:hAnsi="Arial" w:cs="Arial"/>
          <w:i/>
          <w:sz w:val="18"/>
          <w:szCs w:val="18"/>
        </w:rPr>
        <w:tab/>
      </w:r>
      <w:r w:rsidR="00687C0C" w:rsidRPr="00FD1529">
        <w:rPr>
          <w:rFonts w:ascii="Arial" w:hAnsi="Arial" w:cs="Arial"/>
          <w:i/>
          <w:sz w:val="18"/>
          <w:szCs w:val="18"/>
        </w:rPr>
        <w:tab/>
      </w:r>
      <w:r w:rsidR="00687C0C" w:rsidRPr="00FD1529">
        <w:rPr>
          <w:rFonts w:ascii="Arial" w:hAnsi="Arial" w:cs="Arial"/>
          <w:i/>
          <w:sz w:val="18"/>
          <w:szCs w:val="18"/>
        </w:rPr>
        <w:tab/>
      </w:r>
      <w:r w:rsidR="00687C0C" w:rsidRPr="00FD1529">
        <w:rPr>
          <w:rFonts w:ascii="Arial" w:hAnsi="Arial" w:cs="Arial"/>
          <w:i/>
          <w:sz w:val="18"/>
          <w:szCs w:val="18"/>
        </w:rPr>
        <w:tab/>
      </w:r>
      <w:r w:rsidR="00F0236C" w:rsidRPr="00FD1529">
        <w:rPr>
          <w:rFonts w:ascii="Arial" w:hAnsi="Arial" w:cs="Arial"/>
          <w:i/>
          <w:sz w:val="18"/>
          <w:szCs w:val="18"/>
        </w:rPr>
        <w:t xml:space="preserve">      </w:t>
      </w:r>
      <w:r w:rsidR="00687C0C" w:rsidRPr="00FD1529">
        <w:rPr>
          <w:rFonts w:ascii="Arial" w:hAnsi="Arial" w:cs="Arial"/>
          <w:i/>
          <w:sz w:val="18"/>
          <w:szCs w:val="18"/>
        </w:rPr>
        <w:t xml:space="preserve"> </w:t>
      </w:r>
      <w:hyperlink r:id="rId11" w:history="1">
        <w:r w:rsidR="00687C0C" w:rsidRPr="00FD1529">
          <w:rPr>
            <w:rStyle w:val="Hypertextovodkaz"/>
            <w:rFonts w:ascii="Arial" w:hAnsi="Arial" w:cs="Arial"/>
            <w:i/>
            <w:sz w:val="18"/>
            <w:szCs w:val="18"/>
          </w:rPr>
          <w:t>stastny</w:t>
        </w:r>
        <w:r w:rsidR="00687C0C" w:rsidRPr="00FD1529">
          <w:rPr>
            <w:rStyle w:val="Hypertextovodkaz"/>
            <w:rFonts w:ascii="Calibri" w:hAnsi="Calibri" w:cs="Calibri"/>
            <w:i/>
            <w:sz w:val="18"/>
            <w:szCs w:val="18"/>
          </w:rPr>
          <w:t>@</w:t>
        </w:r>
        <w:r w:rsidR="00687C0C" w:rsidRPr="00FD1529">
          <w:rPr>
            <w:rStyle w:val="Hypertextovodkaz"/>
            <w:rFonts w:ascii="Arial" w:hAnsi="Arial" w:cs="Arial"/>
            <w:i/>
            <w:sz w:val="18"/>
            <w:szCs w:val="18"/>
          </w:rPr>
          <w:t>central-group.cz</w:t>
        </w:r>
      </w:hyperlink>
    </w:p>
    <w:sectPr w:rsidR="004100F4" w:rsidRPr="00FD1529" w:rsidSect="00242BB6">
      <w:headerReference w:type="even" r:id="rId12"/>
      <w:headerReference w:type="default" r:id="rId13"/>
      <w:footerReference w:type="even" r:id="rId14"/>
      <w:footerReference w:type="default" r:id="rId15"/>
      <w:headerReference w:type="first" r:id="rId16"/>
      <w:footerReference w:type="first" r:id="rId17"/>
      <w:pgSz w:w="11906" w:h="16838"/>
      <w:pgMar w:top="2410" w:right="1274" w:bottom="1417" w:left="1417" w:header="17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B17BA" w14:textId="77777777" w:rsidR="001F7A7D" w:rsidRDefault="001F7A7D" w:rsidP="00177F71">
      <w:pPr>
        <w:spacing w:after="0" w:line="240" w:lineRule="auto"/>
      </w:pPr>
      <w:r>
        <w:separator/>
      </w:r>
    </w:p>
  </w:endnote>
  <w:endnote w:type="continuationSeparator" w:id="0">
    <w:p w14:paraId="30AE0DE2" w14:textId="77777777" w:rsidR="001F7A7D" w:rsidRDefault="001F7A7D" w:rsidP="0017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80ED" w14:textId="77777777" w:rsidR="008A1F81" w:rsidRDefault="008A1F8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191A" w14:textId="29D91F4E" w:rsidR="00011AA8" w:rsidRPr="002721AB" w:rsidRDefault="00011AA8" w:rsidP="00011AA8">
    <w:pPr>
      <w:autoSpaceDE w:val="0"/>
      <w:autoSpaceDN w:val="0"/>
      <w:adjustRightInd w:val="0"/>
      <w:spacing w:after="0"/>
      <w:jc w:val="both"/>
      <w:rPr>
        <w:rFonts w:ascii="Arial" w:hAnsi="Arial" w:cs="Arial"/>
        <w:i/>
        <w:sz w:val="18"/>
        <w:szCs w:val="18"/>
      </w:rPr>
    </w:pPr>
    <w:r w:rsidRPr="002721AB">
      <w:rPr>
        <w:rFonts w:ascii="Arial" w:hAnsi="Arial" w:cs="Arial"/>
        <w:i/>
        <w:sz w:val="18"/>
        <w:szCs w:val="18"/>
      </w:rPr>
      <w:t>Společné analýzy trhu společností Trigema, Skansk</w:t>
    </w:r>
    <w:r w:rsidR="002A1ED5">
      <w:rPr>
        <w:rFonts w:ascii="Arial" w:hAnsi="Arial" w:cs="Arial"/>
        <w:i/>
        <w:sz w:val="18"/>
        <w:szCs w:val="18"/>
      </w:rPr>
      <w:t>a</w:t>
    </w:r>
    <w:r w:rsidRPr="002721AB">
      <w:rPr>
        <w:rFonts w:ascii="Arial" w:hAnsi="Arial" w:cs="Arial"/>
        <w:i/>
        <w:sz w:val="18"/>
        <w:szCs w:val="18"/>
      </w:rPr>
      <w:t xml:space="preserve"> a Central Group poskytují přesný obraz vývoje na trhu s novými byty v Praze. Jsou vždy aktuální, přinášejí výsledky ve standardním čtvrtletním cyklu v komplexním pohledu i v detailu. Metodika pomohla kultivovat a profesionalizovat trh.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2070" w14:textId="77777777" w:rsidR="008A1F81" w:rsidRDefault="008A1F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6498F" w14:textId="77777777" w:rsidR="001F7A7D" w:rsidRDefault="001F7A7D" w:rsidP="00177F71">
      <w:pPr>
        <w:spacing w:after="0" w:line="240" w:lineRule="auto"/>
      </w:pPr>
      <w:r>
        <w:separator/>
      </w:r>
    </w:p>
  </w:footnote>
  <w:footnote w:type="continuationSeparator" w:id="0">
    <w:p w14:paraId="6D8C7489" w14:textId="77777777" w:rsidR="001F7A7D" w:rsidRDefault="001F7A7D" w:rsidP="0017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5CB66" w14:textId="77777777" w:rsidR="008A1F81" w:rsidRDefault="008A1F8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7D68" w14:textId="77777777" w:rsidR="00177F71" w:rsidRDefault="00177F71" w:rsidP="00177F71">
    <w:pPr>
      <w:pStyle w:val="Zhlav"/>
    </w:pPr>
    <w:r>
      <w:rPr>
        <w:noProof/>
        <w:lang w:eastAsia="cs-CZ"/>
      </w:rPr>
      <w:t xml:space="preserve">        </w:t>
    </w:r>
    <w:r>
      <w:rPr>
        <w:noProof/>
        <w:lang w:eastAsia="cs-CZ"/>
      </w:rPr>
      <w:drawing>
        <wp:inline distT="0" distB="0" distL="0" distR="0" wp14:anchorId="32A82BD3" wp14:editId="78A60EB9">
          <wp:extent cx="5179326" cy="1120908"/>
          <wp:effectExtent l="0" t="0" r="2540" b="3175"/>
          <wp:docPr id="1" name="Obrázek 1" descr="S:\Cg#\Dokumenty\Hlavičkový papír Marcela\IMG\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Dokumenty\Hlavičkový papír Marcela\IMG\hea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9801" cy="112101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85EE" w14:textId="77777777" w:rsidR="008A1F81" w:rsidRDefault="008A1F8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71"/>
    <w:rsid w:val="0000164B"/>
    <w:rsid w:val="00001E4D"/>
    <w:rsid w:val="00011AA8"/>
    <w:rsid w:val="000120B1"/>
    <w:rsid w:val="00015322"/>
    <w:rsid w:val="00020E78"/>
    <w:rsid w:val="00021F72"/>
    <w:rsid w:val="00033E01"/>
    <w:rsid w:val="000373CA"/>
    <w:rsid w:val="00041BE6"/>
    <w:rsid w:val="000439DF"/>
    <w:rsid w:val="000538E0"/>
    <w:rsid w:val="00066F89"/>
    <w:rsid w:val="0009340C"/>
    <w:rsid w:val="000A07A0"/>
    <w:rsid w:val="000A292C"/>
    <w:rsid w:val="000A73B7"/>
    <w:rsid w:val="000B3CE3"/>
    <w:rsid w:val="000C103F"/>
    <w:rsid w:val="000C5859"/>
    <w:rsid w:val="000D646F"/>
    <w:rsid w:val="000F372B"/>
    <w:rsid w:val="00111A54"/>
    <w:rsid w:val="00115E88"/>
    <w:rsid w:val="00121F7F"/>
    <w:rsid w:val="00122172"/>
    <w:rsid w:val="0013469B"/>
    <w:rsid w:val="00137875"/>
    <w:rsid w:val="00141FE3"/>
    <w:rsid w:val="0015432A"/>
    <w:rsid w:val="00161882"/>
    <w:rsid w:val="00162BA2"/>
    <w:rsid w:val="001678DC"/>
    <w:rsid w:val="00177F71"/>
    <w:rsid w:val="0018407E"/>
    <w:rsid w:val="001A18A6"/>
    <w:rsid w:val="001A514C"/>
    <w:rsid w:val="001A71FF"/>
    <w:rsid w:val="001B0FE5"/>
    <w:rsid w:val="001B537C"/>
    <w:rsid w:val="001C2D8A"/>
    <w:rsid w:val="001E7704"/>
    <w:rsid w:val="001F0D84"/>
    <w:rsid w:val="001F7A7D"/>
    <w:rsid w:val="00200EBC"/>
    <w:rsid w:val="00201C6A"/>
    <w:rsid w:val="002159BE"/>
    <w:rsid w:val="0022497C"/>
    <w:rsid w:val="00224DA2"/>
    <w:rsid w:val="00225747"/>
    <w:rsid w:val="0023253C"/>
    <w:rsid w:val="00236800"/>
    <w:rsid w:val="00237407"/>
    <w:rsid w:val="002378ED"/>
    <w:rsid w:val="00242BB6"/>
    <w:rsid w:val="00255598"/>
    <w:rsid w:val="002559B9"/>
    <w:rsid w:val="00260274"/>
    <w:rsid w:val="002609C3"/>
    <w:rsid w:val="00267324"/>
    <w:rsid w:val="002721AB"/>
    <w:rsid w:val="0027770D"/>
    <w:rsid w:val="00284FE7"/>
    <w:rsid w:val="00285F6B"/>
    <w:rsid w:val="00291D69"/>
    <w:rsid w:val="002931AD"/>
    <w:rsid w:val="002A06ED"/>
    <w:rsid w:val="002A1ED5"/>
    <w:rsid w:val="002A2E9B"/>
    <w:rsid w:val="002B3D29"/>
    <w:rsid w:val="002B78C1"/>
    <w:rsid w:val="002C7B01"/>
    <w:rsid w:val="002E1F4A"/>
    <w:rsid w:val="002E65DB"/>
    <w:rsid w:val="003044B6"/>
    <w:rsid w:val="003163AB"/>
    <w:rsid w:val="00321404"/>
    <w:rsid w:val="003301AA"/>
    <w:rsid w:val="0033134A"/>
    <w:rsid w:val="00343390"/>
    <w:rsid w:val="00343EE4"/>
    <w:rsid w:val="00345F7C"/>
    <w:rsid w:val="003504D4"/>
    <w:rsid w:val="00356CC9"/>
    <w:rsid w:val="00365119"/>
    <w:rsid w:val="00391841"/>
    <w:rsid w:val="003968F3"/>
    <w:rsid w:val="003B0BEE"/>
    <w:rsid w:val="003C3245"/>
    <w:rsid w:val="003C4065"/>
    <w:rsid w:val="00401218"/>
    <w:rsid w:val="004021F9"/>
    <w:rsid w:val="004100F4"/>
    <w:rsid w:val="00410479"/>
    <w:rsid w:val="0043326C"/>
    <w:rsid w:val="00434A4F"/>
    <w:rsid w:val="004404E1"/>
    <w:rsid w:val="00440BCF"/>
    <w:rsid w:val="00440F64"/>
    <w:rsid w:val="004459A2"/>
    <w:rsid w:val="0045378E"/>
    <w:rsid w:val="004645CD"/>
    <w:rsid w:val="004728A0"/>
    <w:rsid w:val="004A158B"/>
    <w:rsid w:val="004B6D4F"/>
    <w:rsid w:val="004C1C16"/>
    <w:rsid w:val="004C7040"/>
    <w:rsid w:val="004C722F"/>
    <w:rsid w:val="004E0411"/>
    <w:rsid w:val="004E2CBE"/>
    <w:rsid w:val="004E65D2"/>
    <w:rsid w:val="004E7283"/>
    <w:rsid w:val="004E7924"/>
    <w:rsid w:val="00503D08"/>
    <w:rsid w:val="00511157"/>
    <w:rsid w:val="00514A1E"/>
    <w:rsid w:val="00514EEF"/>
    <w:rsid w:val="00515D70"/>
    <w:rsid w:val="005266D3"/>
    <w:rsid w:val="00536AB3"/>
    <w:rsid w:val="0056776C"/>
    <w:rsid w:val="005800E5"/>
    <w:rsid w:val="005800FF"/>
    <w:rsid w:val="00581649"/>
    <w:rsid w:val="00581933"/>
    <w:rsid w:val="0058291B"/>
    <w:rsid w:val="0059330A"/>
    <w:rsid w:val="005A0D82"/>
    <w:rsid w:val="005A5253"/>
    <w:rsid w:val="005B350B"/>
    <w:rsid w:val="005C47EA"/>
    <w:rsid w:val="005E3BAD"/>
    <w:rsid w:val="005F57CF"/>
    <w:rsid w:val="006126DE"/>
    <w:rsid w:val="006178CE"/>
    <w:rsid w:val="0062507B"/>
    <w:rsid w:val="00626B1F"/>
    <w:rsid w:val="00637439"/>
    <w:rsid w:val="00656923"/>
    <w:rsid w:val="006700F2"/>
    <w:rsid w:val="006702ED"/>
    <w:rsid w:val="00671305"/>
    <w:rsid w:val="00676A04"/>
    <w:rsid w:val="006773E2"/>
    <w:rsid w:val="00685EBA"/>
    <w:rsid w:val="00687C0C"/>
    <w:rsid w:val="006976CD"/>
    <w:rsid w:val="006A32E7"/>
    <w:rsid w:val="006A5F2E"/>
    <w:rsid w:val="006B2D8C"/>
    <w:rsid w:val="006C2D82"/>
    <w:rsid w:val="006D4C31"/>
    <w:rsid w:val="006E12A6"/>
    <w:rsid w:val="006F3380"/>
    <w:rsid w:val="00707388"/>
    <w:rsid w:val="00711A3B"/>
    <w:rsid w:val="00730094"/>
    <w:rsid w:val="00737D32"/>
    <w:rsid w:val="00740AE8"/>
    <w:rsid w:val="00741741"/>
    <w:rsid w:val="00763F8B"/>
    <w:rsid w:val="0076540D"/>
    <w:rsid w:val="007675FB"/>
    <w:rsid w:val="007700E7"/>
    <w:rsid w:val="007765C8"/>
    <w:rsid w:val="007774A2"/>
    <w:rsid w:val="007778F2"/>
    <w:rsid w:val="00783AD6"/>
    <w:rsid w:val="007A001D"/>
    <w:rsid w:val="007A02F3"/>
    <w:rsid w:val="007B0276"/>
    <w:rsid w:val="007C3B00"/>
    <w:rsid w:val="007C3E19"/>
    <w:rsid w:val="007E0528"/>
    <w:rsid w:val="007E4529"/>
    <w:rsid w:val="007F5934"/>
    <w:rsid w:val="008046B1"/>
    <w:rsid w:val="00815B2E"/>
    <w:rsid w:val="00830373"/>
    <w:rsid w:val="00832A21"/>
    <w:rsid w:val="00837110"/>
    <w:rsid w:val="0084278D"/>
    <w:rsid w:val="008654DC"/>
    <w:rsid w:val="00870DAD"/>
    <w:rsid w:val="00871823"/>
    <w:rsid w:val="00885459"/>
    <w:rsid w:val="0089477F"/>
    <w:rsid w:val="008A1A0E"/>
    <w:rsid w:val="008A1F81"/>
    <w:rsid w:val="008A28B0"/>
    <w:rsid w:val="008A2F9B"/>
    <w:rsid w:val="008A6BEC"/>
    <w:rsid w:val="008B357B"/>
    <w:rsid w:val="008B799F"/>
    <w:rsid w:val="008C00CA"/>
    <w:rsid w:val="008C624F"/>
    <w:rsid w:val="008C6344"/>
    <w:rsid w:val="008C72F0"/>
    <w:rsid w:val="008D0341"/>
    <w:rsid w:val="008D2A30"/>
    <w:rsid w:val="008D5F0B"/>
    <w:rsid w:val="008E5348"/>
    <w:rsid w:val="008F159B"/>
    <w:rsid w:val="00905234"/>
    <w:rsid w:val="009117C8"/>
    <w:rsid w:val="009226E3"/>
    <w:rsid w:val="00922F96"/>
    <w:rsid w:val="0092542E"/>
    <w:rsid w:val="00926DB5"/>
    <w:rsid w:val="00930AAD"/>
    <w:rsid w:val="00943566"/>
    <w:rsid w:val="0095671B"/>
    <w:rsid w:val="009675A3"/>
    <w:rsid w:val="00970549"/>
    <w:rsid w:val="009715FC"/>
    <w:rsid w:val="00990D76"/>
    <w:rsid w:val="00994B2C"/>
    <w:rsid w:val="00997C12"/>
    <w:rsid w:val="009A3703"/>
    <w:rsid w:val="009B33F0"/>
    <w:rsid w:val="009C6F28"/>
    <w:rsid w:val="009D27C7"/>
    <w:rsid w:val="009E6983"/>
    <w:rsid w:val="00A11789"/>
    <w:rsid w:val="00A15FF4"/>
    <w:rsid w:val="00A305E8"/>
    <w:rsid w:val="00A462D4"/>
    <w:rsid w:val="00A4794F"/>
    <w:rsid w:val="00A6331C"/>
    <w:rsid w:val="00A636C9"/>
    <w:rsid w:val="00A641A2"/>
    <w:rsid w:val="00A6737D"/>
    <w:rsid w:val="00A73C42"/>
    <w:rsid w:val="00A74688"/>
    <w:rsid w:val="00A824EF"/>
    <w:rsid w:val="00A830ED"/>
    <w:rsid w:val="00A87366"/>
    <w:rsid w:val="00A9526C"/>
    <w:rsid w:val="00AB5DE1"/>
    <w:rsid w:val="00AB6647"/>
    <w:rsid w:val="00B020DD"/>
    <w:rsid w:val="00B051DD"/>
    <w:rsid w:val="00B0576F"/>
    <w:rsid w:val="00B07EAB"/>
    <w:rsid w:val="00B11D35"/>
    <w:rsid w:val="00B24A5B"/>
    <w:rsid w:val="00B34B7D"/>
    <w:rsid w:val="00B40CDA"/>
    <w:rsid w:val="00B449C3"/>
    <w:rsid w:val="00B66666"/>
    <w:rsid w:val="00B72411"/>
    <w:rsid w:val="00B74926"/>
    <w:rsid w:val="00B83ADE"/>
    <w:rsid w:val="00BA5F2E"/>
    <w:rsid w:val="00BD63D7"/>
    <w:rsid w:val="00BE2F1A"/>
    <w:rsid w:val="00BF53F7"/>
    <w:rsid w:val="00BF76DA"/>
    <w:rsid w:val="00C059FC"/>
    <w:rsid w:val="00C07923"/>
    <w:rsid w:val="00C15F6E"/>
    <w:rsid w:val="00C27805"/>
    <w:rsid w:val="00C32DEF"/>
    <w:rsid w:val="00C33D28"/>
    <w:rsid w:val="00C454E2"/>
    <w:rsid w:val="00C46600"/>
    <w:rsid w:val="00C577AC"/>
    <w:rsid w:val="00C66678"/>
    <w:rsid w:val="00C775D5"/>
    <w:rsid w:val="00C84805"/>
    <w:rsid w:val="00C8618A"/>
    <w:rsid w:val="00C9448E"/>
    <w:rsid w:val="00C973D3"/>
    <w:rsid w:val="00CA504F"/>
    <w:rsid w:val="00CB3F41"/>
    <w:rsid w:val="00CB6565"/>
    <w:rsid w:val="00CC53E7"/>
    <w:rsid w:val="00CD3D1B"/>
    <w:rsid w:val="00CE2300"/>
    <w:rsid w:val="00CE5475"/>
    <w:rsid w:val="00CE5785"/>
    <w:rsid w:val="00CE693A"/>
    <w:rsid w:val="00CF643E"/>
    <w:rsid w:val="00D434BB"/>
    <w:rsid w:val="00D454F6"/>
    <w:rsid w:val="00D513B0"/>
    <w:rsid w:val="00D5306C"/>
    <w:rsid w:val="00D64223"/>
    <w:rsid w:val="00D7741D"/>
    <w:rsid w:val="00D901AF"/>
    <w:rsid w:val="00D91ADC"/>
    <w:rsid w:val="00D94B43"/>
    <w:rsid w:val="00DA11BE"/>
    <w:rsid w:val="00DB354B"/>
    <w:rsid w:val="00DB36FB"/>
    <w:rsid w:val="00DC7EBA"/>
    <w:rsid w:val="00DD0110"/>
    <w:rsid w:val="00DD1630"/>
    <w:rsid w:val="00DD2638"/>
    <w:rsid w:val="00DE066C"/>
    <w:rsid w:val="00DE3F46"/>
    <w:rsid w:val="00DF0223"/>
    <w:rsid w:val="00DF36D1"/>
    <w:rsid w:val="00E1759D"/>
    <w:rsid w:val="00E22097"/>
    <w:rsid w:val="00E232A6"/>
    <w:rsid w:val="00E531AA"/>
    <w:rsid w:val="00E7138E"/>
    <w:rsid w:val="00E73B5A"/>
    <w:rsid w:val="00E75C2F"/>
    <w:rsid w:val="00E9278C"/>
    <w:rsid w:val="00EA14B0"/>
    <w:rsid w:val="00EA48A7"/>
    <w:rsid w:val="00EB105E"/>
    <w:rsid w:val="00EB6BD6"/>
    <w:rsid w:val="00EC5437"/>
    <w:rsid w:val="00EC6A20"/>
    <w:rsid w:val="00ED582B"/>
    <w:rsid w:val="00ED64FA"/>
    <w:rsid w:val="00ED79EC"/>
    <w:rsid w:val="00EE0F2E"/>
    <w:rsid w:val="00EE14F0"/>
    <w:rsid w:val="00EE3B40"/>
    <w:rsid w:val="00F0236C"/>
    <w:rsid w:val="00F2180C"/>
    <w:rsid w:val="00F232DC"/>
    <w:rsid w:val="00F54753"/>
    <w:rsid w:val="00F602E4"/>
    <w:rsid w:val="00F63D61"/>
    <w:rsid w:val="00F77191"/>
    <w:rsid w:val="00F80C98"/>
    <w:rsid w:val="00F851AE"/>
    <w:rsid w:val="00F87B08"/>
    <w:rsid w:val="00F91DA2"/>
    <w:rsid w:val="00FA2FBA"/>
    <w:rsid w:val="00FC520E"/>
    <w:rsid w:val="00FD1529"/>
    <w:rsid w:val="00FD641F"/>
    <w:rsid w:val="00FF0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689FAC"/>
  <w15:docId w15:val="{56831C01-8006-4167-A7B1-7986477B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5306C"/>
  </w:style>
  <w:style w:type="paragraph" w:styleId="Nadpis1">
    <w:name w:val="heading 1"/>
    <w:basedOn w:val="Normln"/>
    <w:link w:val="Nadpis1Char"/>
    <w:uiPriority w:val="9"/>
    <w:qFormat/>
    <w:rsid w:val="00930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7F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7F71"/>
  </w:style>
  <w:style w:type="paragraph" w:styleId="Zpat">
    <w:name w:val="footer"/>
    <w:basedOn w:val="Normln"/>
    <w:link w:val="ZpatChar"/>
    <w:uiPriority w:val="99"/>
    <w:unhideWhenUsed/>
    <w:rsid w:val="00177F71"/>
    <w:pPr>
      <w:tabs>
        <w:tab w:val="center" w:pos="4536"/>
        <w:tab w:val="right" w:pos="9072"/>
      </w:tabs>
      <w:spacing w:after="0" w:line="240" w:lineRule="auto"/>
    </w:pPr>
  </w:style>
  <w:style w:type="character" w:customStyle="1" w:styleId="ZpatChar">
    <w:name w:val="Zápatí Char"/>
    <w:basedOn w:val="Standardnpsmoodstavce"/>
    <w:link w:val="Zpat"/>
    <w:uiPriority w:val="99"/>
    <w:rsid w:val="00177F71"/>
  </w:style>
  <w:style w:type="paragraph" w:styleId="Textbubliny">
    <w:name w:val="Balloon Text"/>
    <w:basedOn w:val="Normln"/>
    <w:link w:val="TextbublinyChar"/>
    <w:uiPriority w:val="99"/>
    <w:semiHidden/>
    <w:unhideWhenUsed/>
    <w:rsid w:val="00177F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7F71"/>
    <w:rPr>
      <w:rFonts w:ascii="Tahoma" w:hAnsi="Tahoma" w:cs="Tahoma"/>
      <w:sz w:val="16"/>
      <w:szCs w:val="16"/>
    </w:rPr>
  </w:style>
  <w:style w:type="paragraph" w:styleId="FormtovanvHTML">
    <w:name w:val="HTML Preformatted"/>
    <w:basedOn w:val="Normln"/>
    <w:link w:val="FormtovanvHTMLChar"/>
    <w:uiPriority w:val="99"/>
    <w:unhideWhenUsed/>
    <w:rsid w:val="00D5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D5306C"/>
    <w:rPr>
      <w:rFonts w:ascii="Courier New" w:eastAsia="Times New Roman" w:hAnsi="Courier New" w:cs="Courier New"/>
      <w:sz w:val="20"/>
      <w:szCs w:val="20"/>
      <w:lang w:eastAsia="cs-CZ"/>
    </w:rPr>
  </w:style>
  <w:style w:type="character" w:customStyle="1" w:styleId="Text12">
    <w:name w:val="Text12"/>
    <w:basedOn w:val="Standardnpsmoodstavce"/>
    <w:uiPriority w:val="1"/>
    <w:qFormat/>
    <w:rsid w:val="001F0D84"/>
    <w:rPr>
      <w:rFonts w:ascii="Arial" w:hAnsi="Arial" w:cs="Arial" w:hint="default"/>
      <w:sz w:val="24"/>
    </w:rPr>
  </w:style>
  <w:style w:type="character" w:customStyle="1" w:styleId="Nadpis1Char">
    <w:name w:val="Nadpis 1 Char"/>
    <w:basedOn w:val="Standardnpsmoodstavce"/>
    <w:link w:val="Nadpis1"/>
    <w:uiPriority w:val="9"/>
    <w:rsid w:val="00930AAD"/>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DC7EBA"/>
    <w:rPr>
      <w:color w:val="0000FF" w:themeColor="hyperlink"/>
      <w:u w:val="single"/>
    </w:rPr>
  </w:style>
  <w:style w:type="paragraph" w:styleId="Normlnweb">
    <w:name w:val="Normal (Web)"/>
    <w:basedOn w:val="Normln"/>
    <w:uiPriority w:val="99"/>
    <w:semiHidden/>
    <w:unhideWhenUsed/>
    <w:rsid w:val="00284F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umpedfont15">
    <w:name w:val="bumpedfont15"/>
    <w:basedOn w:val="Standardnpsmoodstavce"/>
    <w:rsid w:val="00260274"/>
  </w:style>
  <w:style w:type="paragraph" w:styleId="Prosttext">
    <w:name w:val="Plain Text"/>
    <w:basedOn w:val="Normln"/>
    <w:link w:val="ProsttextChar"/>
    <w:uiPriority w:val="99"/>
    <w:unhideWhenUsed/>
    <w:rsid w:val="00260274"/>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260274"/>
    <w:rPr>
      <w:rFonts w:ascii="Calibri" w:hAnsi="Calibri"/>
      <w:szCs w:val="21"/>
    </w:rPr>
  </w:style>
  <w:style w:type="character" w:customStyle="1" w:styleId="bumpedfont20">
    <w:name w:val="bumpedfont20"/>
    <w:basedOn w:val="Standardnpsmoodstavce"/>
    <w:rsid w:val="00260274"/>
  </w:style>
  <w:style w:type="character" w:styleId="Nevyeenzmnka">
    <w:name w:val="Unresolved Mention"/>
    <w:basedOn w:val="Standardnpsmoodstavce"/>
    <w:uiPriority w:val="99"/>
    <w:semiHidden/>
    <w:unhideWhenUsed/>
    <w:rsid w:val="00F02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2597">
      <w:bodyDiv w:val="1"/>
      <w:marLeft w:val="0"/>
      <w:marRight w:val="0"/>
      <w:marTop w:val="0"/>
      <w:marBottom w:val="0"/>
      <w:divBdr>
        <w:top w:val="none" w:sz="0" w:space="0" w:color="auto"/>
        <w:left w:val="none" w:sz="0" w:space="0" w:color="auto"/>
        <w:bottom w:val="none" w:sz="0" w:space="0" w:color="auto"/>
        <w:right w:val="none" w:sz="0" w:space="0" w:color="auto"/>
      </w:divBdr>
    </w:div>
    <w:div w:id="230965983">
      <w:bodyDiv w:val="1"/>
      <w:marLeft w:val="0"/>
      <w:marRight w:val="0"/>
      <w:marTop w:val="0"/>
      <w:marBottom w:val="0"/>
      <w:divBdr>
        <w:top w:val="none" w:sz="0" w:space="0" w:color="auto"/>
        <w:left w:val="none" w:sz="0" w:space="0" w:color="auto"/>
        <w:bottom w:val="none" w:sz="0" w:space="0" w:color="auto"/>
        <w:right w:val="none" w:sz="0" w:space="0" w:color="auto"/>
      </w:divBdr>
    </w:div>
    <w:div w:id="323320544">
      <w:bodyDiv w:val="1"/>
      <w:marLeft w:val="0"/>
      <w:marRight w:val="0"/>
      <w:marTop w:val="0"/>
      <w:marBottom w:val="0"/>
      <w:divBdr>
        <w:top w:val="none" w:sz="0" w:space="0" w:color="auto"/>
        <w:left w:val="none" w:sz="0" w:space="0" w:color="auto"/>
        <w:bottom w:val="none" w:sz="0" w:space="0" w:color="auto"/>
        <w:right w:val="none" w:sz="0" w:space="0" w:color="auto"/>
      </w:divBdr>
    </w:div>
    <w:div w:id="346560994">
      <w:bodyDiv w:val="1"/>
      <w:marLeft w:val="0"/>
      <w:marRight w:val="0"/>
      <w:marTop w:val="0"/>
      <w:marBottom w:val="0"/>
      <w:divBdr>
        <w:top w:val="none" w:sz="0" w:space="0" w:color="auto"/>
        <w:left w:val="none" w:sz="0" w:space="0" w:color="auto"/>
        <w:bottom w:val="none" w:sz="0" w:space="0" w:color="auto"/>
        <w:right w:val="none" w:sz="0" w:space="0" w:color="auto"/>
      </w:divBdr>
    </w:div>
    <w:div w:id="565604634">
      <w:bodyDiv w:val="1"/>
      <w:marLeft w:val="0"/>
      <w:marRight w:val="0"/>
      <w:marTop w:val="0"/>
      <w:marBottom w:val="0"/>
      <w:divBdr>
        <w:top w:val="none" w:sz="0" w:space="0" w:color="auto"/>
        <w:left w:val="none" w:sz="0" w:space="0" w:color="auto"/>
        <w:bottom w:val="none" w:sz="0" w:space="0" w:color="auto"/>
        <w:right w:val="none" w:sz="0" w:space="0" w:color="auto"/>
      </w:divBdr>
    </w:div>
    <w:div w:id="628169574">
      <w:bodyDiv w:val="1"/>
      <w:marLeft w:val="0"/>
      <w:marRight w:val="0"/>
      <w:marTop w:val="0"/>
      <w:marBottom w:val="0"/>
      <w:divBdr>
        <w:top w:val="none" w:sz="0" w:space="0" w:color="auto"/>
        <w:left w:val="none" w:sz="0" w:space="0" w:color="auto"/>
        <w:bottom w:val="none" w:sz="0" w:space="0" w:color="auto"/>
        <w:right w:val="none" w:sz="0" w:space="0" w:color="auto"/>
      </w:divBdr>
    </w:div>
    <w:div w:id="871304751">
      <w:bodyDiv w:val="1"/>
      <w:marLeft w:val="0"/>
      <w:marRight w:val="0"/>
      <w:marTop w:val="0"/>
      <w:marBottom w:val="0"/>
      <w:divBdr>
        <w:top w:val="none" w:sz="0" w:space="0" w:color="auto"/>
        <w:left w:val="none" w:sz="0" w:space="0" w:color="auto"/>
        <w:bottom w:val="none" w:sz="0" w:space="0" w:color="auto"/>
        <w:right w:val="none" w:sz="0" w:space="0" w:color="auto"/>
      </w:divBdr>
    </w:div>
    <w:div w:id="876161698">
      <w:bodyDiv w:val="1"/>
      <w:marLeft w:val="0"/>
      <w:marRight w:val="0"/>
      <w:marTop w:val="0"/>
      <w:marBottom w:val="0"/>
      <w:divBdr>
        <w:top w:val="none" w:sz="0" w:space="0" w:color="auto"/>
        <w:left w:val="none" w:sz="0" w:space="0" w:color="auto"/>
        <w:bottom w:val="none" w:sz="0" w:space="0" w:color="auto"/>
        <w:right w:val="none" w:sz="0" w:space="0" w:color="auto"/>
      </w:divBdr>
    </w:div>
    <w:div w:id="900483557">
      <w:bodyDiv w:val="1"/>
      <w:marLeft w:val="0"/>
      <w:marRight w:val="0"/>
      <w:marTop w:val="0"/>
      <w:marBottom w:val="0"/>
      <w:divBdr>
        <w:top w:val="none" w:sz="0" w:space="0" w:color="auto"/>
        <w:left w:val="none" w:sz="0" w:space="0" w:color="auto"/>
        <w:bottom w:val="none" w:sz="0" w:space="0" w:color="auto"/>
        <w:right w:val="none" w:sz="0" w:space="0" w:color="auto"/>
      </w:divBdr>
    </w:div>
    <w:div w:id="997148563">
      <w:bodyDiv w:val="1"/>
      <w:marLeft w:val="0"/>
      <w:marRight w:val="0"/>
      <w:marTop w:val="0"/>
      <w:marBottom w:val="0"/>
      <w:divBdr>
        <w:top w:val="none" w:sz="0" w:space="0" w:color="auto"/>
        <w:left w:val="none" w:sz="0" w:space="0" w:color="auto"/>
        <w:bottom w:val="none" w:sz="0" w:space="0" w:color="auto"/>
        <w:right w:val="none" w:sz="0" w:space="0" w:color="auto"/>
      </w:divBdr>
    </w:div>
    <w:div w:id="1092045347">
      <w:bodyDiv w:val="1"/>
      <w:marLeft w:val="0"/>
      <w:marRight w:val="0"/>
      <w:marTop w:val="0"/>
      <w:marBottom w:val="0"/>
      <w:divBdr>
        <w:top w:val="none" w:sz="0" w:space="0" w:color="auto"/>
        <w:left w:val="none" w:sz="0" w:space="0" w:color="auto"/>
        <w:bottom w:val="none" w:sz="0" w:space="0" w:color="auto"/>
        <w:right w:val="none" w:sz="0" w:space="0" w:color="auto"/>
      </w:divBdr>
    </w:div>
    <w:div w:id="1119110957">
      <w:bodyDiv w:val="1"/>
      <w:marLeft w:val="0"/>
      <w:marRight w:val="0"/>
      <w:marTop w:val="0"/>
      <w:marBottom w:val="0"/>
      <w:divBdr>
        <w:top w:val="none" w:sz="0" w:space="0" w:color="auto"/>
        <w:left w:val="none" w:sz="0" w:space="0" w:color="auto"/>
        <w:bottom w:val="none" w:sz="0" w:space="0" w:color="auto"/>
        <w:right w:val="none" w:sz="0" w:space="0" w:color="auto"/>
      </w:divBdr>
    </w:div>
    <w:div w:id="1184856395">
      <w:bodyDiv w:val="1"/>
      <w:marLeft w:val="0"/>
      <w:marRight w:val="0"/>
      <w:marTop w:val="0"/>
      <w:marBottom w:val="0"/>
      <w:divBdr>
        <w:top w:val="none" w:sz="0" w:space="0" w:color="auto"/>
        <w:left w:val="none" w:sz="0" w:space="0" w:color="auto"/>
        <w:bottom w:val="none" w:sz="0" w:space="0" w:color="auto"/>
        <w:right w:val="none" w:sz="0" w:space="0" w:color="auto"/>
      </w:divBdr>
    </w:div>
    <w:div w:id="1188253616">
      <w:bodyDiv w:val="1"/>
      <w:marLeft w:val="0"/>
      <w:marRight w:val="0"/>
      <w:marTop w:val="0"/>
      <w:marBottom w:val="0"/>
      <w:divBdr>
        <w:top w:val="none" w:sz="0" w:space="0" w:color="auto"/>
        <w:left w:val="none" w:sz="0" w:space="0" w:color="auto"/>
        <w:bottom w:val="none" w:sz="0" w:space="0" w:color="auto"/>
        <w:right w:val="none" w:sz="0" w:space="0" w:color="auto"/>
      </w:divBdr>
    </w:div>
    <w:div w:id="1319116633">
      <w:bodyDiv w:val="1"/>
      <w:marLeft w:val="0"/>
      <w:marRight w:val="0"/>
      <w:marTop w:val="0"/>
      <w:marBottom w:val="0"/>
      <w:divBdr>
        <w:top w:val="none" w:sz="0" w:space="0" w:color="auto"/>
        <w:left w:val="none" w:sz="0" w:space="0" w:color="auto"/>
        <w:bottom w:val="none" w:sz="0" w:space="0" w:color="auto"/>
        <w:right w:val="none" w:sz="0" w:space="0" w:color="auto"/>
      </w:divBdr>
    </w:div>
    <w:div w:id="1425302065">
      <w:bodyDiv w:val="1"/>
      <w:marLeft w:val="0"/>
      <w:marRight w:val="0"/>
      <w:marTop w:val="0"/>
      <w:marBottom w:val="0"/>
      <w:divBdr>
        <w:top w:val="none" w:sz="0" w:space="0" w:color="auto"/>
        <w:left w:val="none" w:sz="0" w:space="0" w:color="auto"/>
        <w:bottom w:val="none" w:sz="0" w:space="0" w:color="auto"/>
        <w:right w:val="none" w:sz="0" w:space="0" w:color="auto"/>
      </w:divBdr>
    </w:div>
    <w:div w:id="1745565632">
      <w:bodyDiv w:val="1"/>
      <w:marLeft w:val="0"/>
      <w:marRight w:val="0"/>
      <w:marTop w:val="0"/>
      <w:marBottom w:val="0"/>
      <w:divBdr>
        <w:top w:val="none" w:sz="0" w:space="0" w:color="auto"/>
        <w:left w:val="none" w:sz="0" w:space="0" w:color="auto"/>
        <w:bottom w:val="none" w:sz="0" w:space="0" w:color="auto"/>
        <w:right w:val="none" w:sz="0" w:space="0" w:color="auto"/>
      </w:divBdr>
    </w:div>
    <w:div w:id="2010058722">
      <w:bodyDiv w:val="1"/>
      <w:marLeft w:val="0"/>
      <w:marRight w:val="0"/>
      <w:marTop w:val="0"/>
      <w:marBottom w:val="0"/>
      <w:divBdr>
        <w:top w:val="none" w:sz="0" w:space="0" w:color="auto"/>
        <w:left w:val="none" w:sz="0" w:space="0" w:color="auto"/>
        <w:bottom w:val="none" w:sz="0" w:space="0" w:color="auto"/>
        <w:right w:val="none" w:sz="0" w:space="0" w:color="auto"/>
      </w:divBdr>
    </w:div>
    <w:div w:id="20121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tastny@central-group.cz"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renata.vildomcova@skanska.cz"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polak@trigema.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4801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Skanska a.s.</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Polák Radek</cp:lastModifiedBy>
  <cp:revision>3</cp:revision>
  <cp:lastPrinted>2021-01-26T08:25:00Z</cp:lastPrinted>
  <dcterms:created xsi:type="dcterms:W3CDTF">2021-01-26T15:50:00Z</dcterms:created>
  <dcterms:modified xsi:type="dcterms:W3CDTF">2021-01-27T10:57:00Z</dcterms:modified>
</cp:coreProperties>
</file>