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2E" w:rsidRPr="00F54753" w:rsidRDefault="0092542E">
      <w:pPr>
        <w:rPr>
          <w:sz w:val="16"/>
          <w:szCs w:val="16"/>
        </w:rPr>
      </w:pPr>
    </w:p>
    <w:p w:rsidR="002B78C1" w:rsidRDefault="00870DAD" w:rsidP="008A1F81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Zájem o nové bydlení zůstává, ceny rostou</w:t>
      </w:r>
    </w:p>
    <w:p w:rsidR="008B799F" w:rsidRPr="002721AB" w:rsidRDefault="008B799F" w:rsidP="008B799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721AB">
        <w:rPr>
          <w:rFonts w:ascii="Arial" w:hAnsi="Arial" w:cs="Arial"/>
          <w:i/>
          <w:sz w:val="18"/>
          <w:szCs w:val="18"/>
        </w:rPr>
        <w:t xml:space="preserve">Praha, </w:t>
      </w:r>
      <w:r w:rsidR="005A5253" w:rsidRPr="002721AB">
        <w:rPr>
          <w:rFonts w:ascii="Arial" w:hAnsi="Arial" w:cs="Arial"/>
          <w:i/>
          <w:sz w:val="18"/>
          <w:szCs w:val="18"/>
        </w:rPr>
        <w:t>22</w:t>
      </w:r>
      <w:r w:rsidRPr="002721AB">
        <w:rPr>
          <w:rFonts w:ascii="Arial" w:hAnsi="Arial" w:cs="Arial"/>
          <w:i/>
          <w:sz w:val="18"/>
          <w:szCs w:val="18"/>
        </w:rPr>
        <w:t xml:space="preserve">. </w:t>
      </w:r>
      <w:r w:rsidR="008A1F81" w:rsidRPr="002721AB">
        <w:rPr>
          <w:rFonts w:ascii="Arial" w:hAnsi="Arial" w:cs="Arial"/>
          <w:i/>
          <w:sz w:val="18"/>
          <w:szCs w:val="18"/>
        </w:rPr>
        <w:t>července</w:t>
      </w:r>
      <w:r w:rsidRPr="002721AB">
        <w:rPr>
          <w:rFonts w:ascii="Arial" w:hAnsi="Arial" w:cs="Arial"/>
          <w:i/>
          <w:sz w:val="18"/>
          <w:szCs w:val="18"/>
        </w:rPr>
        <w:t xml:space="preserve"> 2020</w:t>
      </w:r>
    </w:p>
    <w:p w:rsidR="005A5253" w:rsidRPr="002721AB" w:rsidRDefault="009A3703" w:rsidP="005A525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721AB">
        <w:rPr>
          <w:rFonts w:ascii="Arial" w:hAnsi="Arial" w:cs="Arial"/>
          <w:b/>
          <w:bCs/>
          <w:sz w:val="18"/>
          <w:szCs w:val="18"/>
        </w:rPr>
        <w:t xml:space="preserve">V Praze se poptávka po novém bydlení během druhého čtvrtletí letošního roku i přes problémy s </w:t>
      </w:r>
      <w:proofErr w:type="spellStart"/>
      <w:r w:rsidRPr="002721AB">
        <w:rPr>
          <w:rFonts w:ascii="Arial" w:hAnsi="Arial" w:cs="Arial"/>
          <w:b/>
          <w:bCs/>
          <w:sz w:val="18"/>
          <w:szCs w:val="18"/>
        </w:rPr>
        <w:t>koronavirem</w:t>
      </w:r>
      <w:proofErr w:type="spellEnd"/>
      <w:r w:rsidRPr="002721AB">
        <w:rPr>
          <w:rFonts w:ascii="Arial" w:hAnsi="Arial" w:cs="Arial"/>
          <w:b/>
          <w:bCs/>
          <w:sz w:val="18"/>
          <w:szCs w:val="18"/>
        </w:rPr>
        <w:t xml:space="preserve"> snížila jen nepatrně, prodalo se 1 100 bytů. Jejich cena vzrostla z původních 106 392 na 108 261 korun za m</w:t>
      </w:r>
      <w:r w:rsidRPr="00365119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2721AB">
        <w:rPr>
          <w:rFonts w:ascii="Arial" w:hAnsi="Arial" w:cs="Arial"/>
          <w:b/>
          <w:bCs/>
          <w:sz w:val="18"/>
          <w:szCs w:val="18"/>
        </w:rPr>
        <w:t>. Nabídka se v tomto kvartálu roz</w:t>
      </w:r>
      <w:r w:rsidR="00E73B5A" w:rsidRPr="002721AB">
        <w:rPr>
          <w:rFonts w:ascii="Arial" w:hAnsi="Arial" w:cs="Arial"/>
          <w:b/>
          <w:bCs/>
          <w:sz w:val="18"/>
          <w:szCs w:val="18"/>
        </w:rPr>
        <w:t>šířila</w:t>
      </w:r>
      <w:r w:rsidRPr="002721AB">
        <w:rPr>
          <w:rFonts w:ascii="Arial" w:hAnsi="Arial" w:cs="Arial"/>
          <w:b/>
          <w:bCs/>
          <w:sz w:val="18"/>
          <w:szCs w:val="18"/>
        </w:rPr>
        <w:t xml:space="preserve"> o řadu nových projektů a k jeho konci činila 5 800 jednotek. Dokládají to společné analýzy společností </w:t>
      </w:r>
      <w:proofErr w:type="spellStart"/>
      <w:r w:rsidRPr="002721AB">
        <w:rPr>
          <w:rFonts w:ascii="Arial" w:hAnsi="Arial" w:cs="Arial"/>
          <w:b/>
          <w:bCs/>
          <w:sz w:val="18"/>
          <w:szCs w:val="18"/>
        </w:rPr>
        <w:t>Trigema</w:t>
      </w:r>
      <w:proofErr w:type="spellEnd"/>
      <w:r w:rsidRPr="002721AB">
        <w:rPr>
          <w:rFonts w:ascii="Arial" w:hAnsi="Arial" w:cs="Arial"/>
          <w:b/>
          <w:bCs/>
          <w:sz w:val="18"/>
          <w:szCs w:val="18"/>
        </w:rPr>
        <w:t xml:space="preserve">, Skanska Reality a </w:t>
      </w:r>
      <w:proofErr w:type="spellStart"/>
      <w:r w:rsidRPr="002721AB">
        <w:rPr>
          <w:rFonts w:ascii="Arial" w:hAnsi="Arial" w:cs="Arial"/>
          <w:b/>
          <w:bCs/>
          <w:sz w:val="18"/>
          <w:szCs w:val="18"/>
        </w:rPr>
        <w:t>Central</w:t>
      </w:r>
      <w:proofErr w:type="spellEnd"/>
      <w:r w:rsidRPr="002721AB">
        <w:rPr>
          <w:rFonts w:ascii="Arial" w:hAnsi="Arial" w:cs="Arial"/>
          <w:b/>
          <w:bCs/>
          <w:sz w:val="18"/>
          <w:szCs w:val="18"/>
        </w:rPr>
        <w:t xml:space="preserve"> Group. </w:t>
      </w:r>
      <w:r w:rsidR="00E73B5A" w:rsidRPr="002721AB">
        <w:rPr>
          <w:rFonts w:ascii="Arial" w:hAnsi="Arial" w:cs="Arial"/>
          <w:b/>
          <w:bCs/>
          <w:sz w:val="18"/>
          <w:szCs w:val="18"/>
        </w:rPr>
        <w:t>C</w:t>
      </w:r>
      <w:r w:rsidR="005A5253" w:rsidRPr="002721AB">
        <w:rPr>
          <w:rFonts w:ascii="Arial" w:hAnsi="Arial" w:cs="Arial"/>
          <w:b/>
          <w:bCs/>
          <w:sz w:val="18"/>
          <w:szCs w:val="18"/>
        </w:rPr>
        <w:t xml:space="preserve">ena </w:t>
      </w:r>
      <w:r w:rsidR="00E73B5A" w:rsidRPr="002721AB">
        <w:rPr>
          <w:rFonts w:ascii="Arial" w:hAnsi="Arial" w:cs="Arial"/>
          <w:b/>
          <w:bCs/>
          <w:sz w:val="18"/>
          <w:szCs w:val="18"/>
        </w:rPr>
        <w:t xml:space="preserve">nových bytů mimo metropoli </w:t>
      </w:r>
      <w:r w:rsidR="005A5253" w:rsidRPr="002721AB">
        <w:rPr>
          <w:rFonts w:ascii="Arial" w:hAnsi="Arial" w:cs="Arial"/>
          <w:b/>
          <w:bCs/>
          <w:sz w:val="18"/>
          <w:szCs w:val="18"/>
        </w:rPr>
        <w:t xml:space="preserve">podle šetření </w:t>
      </w:r>
      <w:proofErr w:type="spellStart"/>
      <w:r w:rsidR="005A5253" w:rsidRPr="002721AB">
        <w:rPr>
          <w:rFonts w:ascii="Arial" w:hAnsi="Arial" w:cs="Arial"/>
          <w:b/>
          <w:bCs/>
          <w:sz w:val="18"/>
          <w:szCs w:val="18"/>
        </w:rPr>
        <w:t>Trigema</w:t>
      </w:r>
      <w:proofErr w:type="spellEnd"/>
      <w:r w:rsidR="005A5253" w:rsidRPr="002721AB">
        <w:rPr>
          <w:rFonts w:ascii="Arial" w:hAnsi="Arial" w:cs="Arial"/>
          <w:b/>
          <w:bCs/>
          <w:sz w:val="18"/>
          <w:szCs w:val="18"/>
        </w:rPr>
        <w:t xml:space="preserve"> mezikvartálně stoupla z 60 053 na</w:t>
      </w:r>
      <w:r w:rsidR="005E3BAD" w:rsidRPr="002721AB">
        <w:rPr>
          <w:rFonts w:ascii="Arial" w:hAnsi="Arial" w:cs="Arial"/>
          <w:b/>
          <w:bCs/>
          <w:sz w:val="18"/>
          <w:szCs w:val="18"/>
        </w:rPr>
        <w:t xml:space="preserve"> 61 933</w:t>
      </w:r>
      <w:r w:rsidR="005A5253" w:rsidRPr="002721AB">
        <w:rPr>
          <w:rFonts w:ascii="Arial" w:hAnsi="Arial" w:cs="Arial"/>
          <w:b/>
          <w:bCs/>
          <w:sz w:val="18"/>
          <w:szCs w:val="18"/>
        </w:rPr>
        <w:t xml:space="preserve"> korun na m</w:t>
      </w:r>
      <w:r w:rsidR="005A5253" w:rsidRPr="00365119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="005A5253" w:rsidRPr="002721AB">
        <w:rPr>
          <w:rFonts w:ascii="Arial" w:hAnsi="Arial" w:cs="Arial"/>
          <w:b/>
          <w:bCs/>
          <w:sz w:val="18"/>
          <w:szCs w:val="18"/>
        </w:rPr>
        <w:t xml:space="preserve">. </w:t>
      </w:r>
      <w:r w:rsidR="00E73B5A" w:rsidRPr="002721AB">
        <w:rPr>
          <w:rFonts w:ascii="Arial" w:hAnsi="Arial" w:cs="Arial"/>
          <w:b/>
          <w:bCs/>
          <w:sz w:val="18"/>
          <w:szCs w:val="18"/>
        </w:rPr>
        <w:t>Zájem o ně posílil o jeden procentní bod.</w:t>
      </w:r>
      <w:r w:rsidR="005A5253" w:rsidRPr="002721AB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5A5253" w:rsidRPr="002721AB" w:rsidRDefault="005A5253" w:rsidP="005A52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46134780"/>
      <w:bookmarkStart w:id="1" w:name="_Hlk46148140"/>
      <w:r w:rsidRPr="002721AB">
        <w:rPr>
          <w:rFonts w:ascii="Arial" w:hAnsi="Arial" w:cs="Arial"/>
          <w:sz w:val="18"/>
          <w:szCs w:val="18"/>
        </w:rPr>
        <w:t xml:space="preserve">Od dubna do června se v Praze prodalo </w:t>
      </w:r>
      <w:r w:rsidR="005E3BAD" w:rsidRPr="002721AB">
        <w:rPr>
          <w:rFonts w:ascii="Arial" w:hAnsi="Arial" w:cs="Arial"/>
          <w:sz w:val="18"/>
          <w:szCs w:val="18"/>
        </w:rPr>
        <w:t>1 100</w:t>
      </w:r>
      <w:r w:rsidRPr="002721AB">
        <w:rPr>
          <w:rFonts w:ascii="Arial" w:hAnsi="Arial" w:cs="Arial"/>
          <w:sz w:val="18"/>
          <w:szCs w:val="18"/>
        </w:rPr>
        <w:t xml:space="preserve"> nových bytů, ukazuje aktuální šetření </w:t>
      </w:r>
      <w:proofErr w:type="spellStart"/>
      <w:r w:rsidRPr="002721AB">
        <w:rPr>
          <w:rFonts w:ascii="Arial" w:hAnsi="Arial" w:cs="Arial"/>
          <w:sz w:val="18"/>
          <w:szCs w:val="18"/>
        </w:rPr>
        <w:t>Trigemy</w:t>
      </w:r>
      <w:proofErr w:type="spellEnd"/>
      <w:r w:rsidRPr="002721AB">
        <w:rPr>
          <w:rFonts w:ascii="Arial" w:hAnsi="Arial" w:cs="Arial"/>
          <w:sz w:val="18"/>
          <w:szCs w:val="18"/>
        </w:rPr>
        <w:t xml:space="preserve">, Skanska Reality a </w:t>
      </w:r>
      <w:proofErr w:type="spellStart"/>
      <w:r w:rsidRPr="002721AB">
        <w:rPr>
          <w:rFonts w:ascii="Arial" w:hAnsi="Arial" w:cs="Arial"/>
          <w:sz w:val="18"/>
          <w:szCs w:val="18"/>
        </w:rPr>
        <w:t>Central</w:t>
      </w:r>
      <w:proofErr w:type="spellEnd"/>
      <w:r w:rsidRPr="002721AB">
        <w:rPr>
          <w:rFonts w:ascii="Arial" w:hAnsi="Arial" w:cs="Arial"/>
          <w:sz w:val="18"/>
          <w:szCs w:val="18"/>
        </w:rPr>
        <w:t xml:space="preserve"> Group. To je sice zhruba </w:t>
      </w:r>
      <w:r w:rsidR="005E3BAD" w:rsidRPr="002721AB">
        <w:rPr>
          <w:rFonts w:ascii="Arial" w:hAnsi="Arial" w:cs="Arial"/>
          <w:sz w:val="18"/>
          <w:szCs w:val="18"/>
        </w:rPr>
        <w:t>o 15 procent</w:t>
      </w:r>
      <w:r w:rsidRPr="002721AB">
        <w:rPr>
          <w:rFonts w:ascii="Arial" w:hAnsi="Arial" w:cs="Arial"/>
          <w:sz w:val="18"/>
          <w:szCs w:val="18"/>
        </w:rPr>
        <w:t xml:space="preserve"> méně než v předchozím kvartálu, v následujícím období lze ale očekávat další růst zájmu. Celkově se tak za první pololetí prodalo </w:t>
      </w:r>
      <w:r w:rsidR="005E3BAD" w:rsidRPr="002721AB">
        <w:rPr>
          <w:rFonts w:ascii="Arial" w:hAnsi="Arial" w:cs="Arial"/>
          <w:sz w:val="18"/>
          <w:szCs w:val="18"/>
        </w:rPr>
        <w:t>2 400</w:t>
      </w:r>
      <w:r w:rsidRPr="002721AB">
        <w:rPr>
          <w:rFonts w:ascii="Arial" w:hAnsi="Arial" w:cs="Arial"/>
          <w:sz w:val="18"/>
          <w:szCs w:val="18"/>
        </w:rPr>
        <w:t xml:space="preserve"> bytů. </w:t>
      </w:r>
      <w:r w:rsidR="005E3BAD" w:rsidRPr="002721AB">
        <w:rPr>
          <w:rFonts w:ascii="Arial" w:hAnsi="Arial" w:cs="Arial"/>
          <w:sz w:val="18"/>
          <w:szCs w:val="18"/>
        </w:rPr>
        <w:t>T</w:t>
      </w:r>
      <w:r w:rsidR="001678DC" w:rsidRPr="002721AB">
        <w:rPr>
          <w:rFonts w:ascii="Arial" w:hAnsi="Arial" w:cs="Arial"/>
          <w:sz w:val="18"/>
          <w:szCs w:val="18"/>
        </w:rPr>
        <w:t>o je</w:t>
      </w:r>
      <w:r w:rsidR="005E3BAD" w:rsidRPr="002721AB">
        <w:rPr>
          <w:rFonts w:ascii="Arial" w:hAnsi="Arial" w:cs="Arial"/>
          <w:sz w:val="18"/>
          <w:szCs w:val="18"/>
        </w:rPr>
        <w:t xml:space="preserve"> jen o 100 méně než loni za stejné období. </w:t>
      </w:r>
      <w:r w:rsidRPr="002721AB">
        <w:rPr>
          <w:rFonts w:ascii="Arial" w:hAnsi="Arial" w:cs="Arial"/>
          <w:sz w:val="18"/>
          <w:szCs w:val="18"/>
        </w:rPr>
        <w:t xml:space="preserve">Pokud by byla ve druhé polovině roku poptávka obdobná, nebo dokonce vyšší, znamenalo by to, že si své zájemce najde za celý tento rok okolo 5 000 bytů. Tedy </w:t>
      </w:r>
      <w:r w:rsidR="00C775D5" w:rsidRPr="002721AB">
        <w:rPr>
          <w:rFonts w:ascii="Arial" w:hAnsi="Arial" w:cs="Arial"/>
          <w:sz w:val="18"/>
          <w:szCs w:val="18"/>
        </w:rPr>
        <w:t>podobně</w:t>
      </w:r>
      <w:r w:rsidRPr="002721AB">
        <w:rPr>
          <w:rFonts w:ascii="Arial" w:hAnsi="Arial" w:cs="Arial"/>
          <w:sz w:val="18"/>
          <w:szCs w:val="18"/>
        </w:rPr>
        <w:t xml:space="preserve"> jako v roce 2018.</w:t>
      </w:r>
    </w:p>
    <w:p w:rsidR="005A5253" w:rsidRPr="002721AB" w:rsidRDefault="005A5253" w:rsidP="005A52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2" w:name="_Hlk46149760"/>
      <w:bookmarkEnd w:id="0"/>
      <w:r w:rsidRPr="002721AB">
        <w:rPr>
          <w:rFonts w:ascii="Arial" w:hAnsi="Arial" w:cs="Arial"/>
          <w:sz w:val="18"/>
          <w:szCs w:val="18"/>
        </w:rPr>
        <w:t>„</w:t>
      </w:r>
      <w:r w:rsidRPr="002721AB">
        <w:rPr>
          <w:rFonts w:ascii="Arial" w:hAnsi="Arial" w:cs="Arial"/>
          <w:i/>
          <w:iCs/>
          <w:sz w:val="18"/>
          <w:szCs w:val="18"/>
        </w:rPr>
        <w:t>Zatímco hodnota peněz spíše klesá, u nemovitostí je to přesně naopak. Jejich hodnota se průběžně zvyšuje. Pokud k tomu navíc připočteme fakt, že průměrné sazby hypoték klesají, představuje investice do nového bytu perspektivní příležitost. Do dalších měsíců lze očekávat, že se poptávka po bydlení bude ještě zvedat a celkové prodeje budou stejné jako před dvěma lety, nebo dokonce ještě vyšší</w:t>
      </w:r>
      <w:r w:rsidRPr="002721AB">
        <w:rPr>
          <w:rFonts w:ascii="Arial" w:hAnsi="Arial" w:cs="Arial"/>
          <w:sz w:val="18"/>
          <w:szCs w:val="18"/>
        </w:rPr>
        <w:t xml:space="preserve">,“ říká Marcel Soural, předseda představenstva společnosti </w:t>
      </w:r>
      <w:proofErr w:type="spellStart"/>
      <w:r w:rsidRPr="002721AB">
        <w:rPr>
          <w:rFonts w:ascii="Arial" w:hAnsi="Arial" w:cs="Arial"/>
          <w:sz w:val="18"/>
          <w:szCs w:val="18"/>
        </w:rPr>
        <w:t>Trigema</w:t>
      </w:r>
      <w:proofErr w:type="spellEnd"/>
      <w:r w:rsidRPr="002721AB">
        <w:rPr>
          <w:rFonts w:ascii="Arial" w:hAnsi="Arial" w:cs="Arial"/>
          <w:sz w:val="18"/>
          <w:szCs w:val="18"/>
        </w:rPr>
        <w:t>.</w:t>
      </w:r>
    </w:p>
    <w:p w:rsidR="002721AB" w:rsidRPr="002721AB" w:rsidRDefault="002721AB" w:rsidP="002721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3" w:name="_Hlk46149127"/>
      <w:r w:rsidRPr="002721AB">
        <w:rPr>
          <w:rFonts w:ascii="Arial" w:hAnsi="Arial" w:cs="Arial"/>
          <w:sz w:val="18"/>
          <w:szCs w:val="18"/>
        </w:rPr>
        <w:t>Průměrná cena za prodaný byt dosáhla během druhého kvartálu na 108 261 korun na m</w:t>
      </w:r>
      <w:r w:rsidRPr="00365119">
        <w:rPr>
          <w:rFonts w:ascii="Arial" w:hAnsi="Arial" w:cs="Arial"/>
          <w:sz w:val="18"/>
          <w:szCs w:val="18"/>
          <w:vertAlign w:val="superscript"/>
        </w:rPr>
        <w:t>2</w:t>
      </w:r>
      <w:r w:rsidRPr="002721AB">
        <w:rPr>
          <w:rFonts w:ascii="Arial" w:hAnsi="Arial" w:cs="Arial"/>
          <w:sz w:val="18"/>
          <w:szCs w:val="18"/>
        </w:rPr>
        <w:t xml:space="preserve">. To je o 2 procenta více než v předchozím čtvrtletí. Nejdražší jsou z toho </w:t>
      </w:r>
      <w:r w:rsidR="00DE066C">
        <w:rPr>
          <w:rFonts w:ascii="Arial" w:hAnsi="Arial" w:cs="Arial"/>
          <w:sz w:val="18"/>
          <w:szCs w:val="18"/>
        </w:rPr>
        <w:t>pětipokojové a větší</w:t>
      </w:r>
      <w:r w:rsidRPr="002721AB">
        <w:rPr>
          <w:rFonts w:ascii="Arial" w:hAnsi="Arial" w:cs="Arial"/>
          <w:sz w:val="18"/>
          <w:szCs w:val="18"/>
        </w:rPr>
        <w:t xml:space="preserve"> a jednopokojové byty. Cena pětipokojových</w:t>
      </w:r>
      <w:r w:rsidR="00DE066C">
        <w:rPr>
          <w:rFonts w:ascii="Arial" w:hAnsi="Arial" w:cs="Arial"/>
          <w:sz w:val="18"/>
          <w:szCs w:val="18"/>
        </w:rPr>
        <w:t xml:space="preserve"> a větších</w:t>
      </w:r>
      <w:r w:rsidRPr="002721AB">
        <w:rPr>
          <w:rFonts w:ascii="Arial" w:hAnsi="Arial" w:cs="Arial"/>
          <w:sz w:val="18"/>
          <w:szCs w:val="18"/>
        </w:rPr>
        <w:t xml:space="preserve"> činila 144 a jednopokojových 118 000 korun na m</w:t>
      </w:r>
      <w:r w:rsidRPr="00365119">
        <w:rPr>
          <w:rFonts w:ascii="Arial" w:hAnsi="Arial" w:cs="Arial"/>
          <w:sz w:val="18"/>
          <w:szCs w:val="18"/>
          <w:vertAlign w:val="superscript"/>
        </w:rPr>
        <w:t>2</w:t>
      </w:r>
      <w:r w:rsidRPr="002721AB">
        <w:rPr>
          <w:rFonts w:ascii="Arial" w:hAnsi="Arial" w:cs="Arial"/>
          <w:sz w:val="18"/>
          <w:szCs w:val="18"/>
        </w:rPr>
        <w:t>. Nejžádanějšími jsou dvoupokojové byty. Prodalo se jich více než 42 procent. Jejich cena je 106 000 korun na m</w:t>
      </w:r>
      <w:r w:rsidRPr="00365119">
        <w:rPr>
          <w:rFonts w:ascii="Arial" w:hAnsi="Arial" w:cs="Arial"/>
          <w:sz w:val="18"/>
          <w:szCs w:val="18"/>
          <w:vertAlign w:val="superscript"/>
        </w:rPr>
        <w:t>2</w:t>
      </w:r>
      <w:r w:rsidRPr="002721AB">
        <w:rPr>
          <w:rFonts w:ascii="Arial" w:hAnsi="Arial" w:cs="Arial"/>
          <w:sz w:val="18"/>
          <w:szCs w:val="18"/>
        </w:rPr>
        <w:t>. U třípokojových je to pak necelých 104 000 korun na m</w:t>
      </w:r>
      <w:r w:rsidRPr="00B449C3">
        <w:rPr>
          <w:rFonts w:ascii="Arial" w:hAnsi="Arial" w:cs="Arial"/>
          <w:sz w:val="18"/>
          <w:szCs w:val="18"/>
          <w:vertAlign w:val="superscript"/>
        </w:rPr>
        <w:t>2</w:t>
      </w:r>
      <w:r w:rsidRPr="002721AB">
        <w:rPr>
          <w:rFonts w:ascii="Arial" w:hAnsi="Arial" w:cs="Arial"/>
          <w:sz w:val="18"/>
          <w:szCs w:val="18"/>
        </w:rPr>
        <w:t xml:space="preserve">. K nejvíce žádaným místům, kde se novostavby ve městě nabízí, patřila pátá a čtvrtá městská část. Zde se dohromady prodalo 40 procent nových bytů. </w:t>
      </w:r>
    </w:p>
    <w:bookmarkEnd w:id="3"/>
    <w:bookmarkEnd w:id="1"/>
    <w:bookmarkEnd w:id="2"/>
    <w:p w:rsidR="00343EE4" w:rsidRPr="002721AB" w:rsidRDefault="00343EE4" w:rsidP="00343EE4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„</w:t>
      </w:r>
      <w:r w:rsidRPr="002721AB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Dopad pandemie na ceny nových bytů se doposud nepotvrdil. Naopak sledujeme 2procentní nárůst cen oproti předcházejícím třem měsícům. Dochází k naplnění prognózy, že ceny realit v dobrých lokalitách z důvodu nedostatečné nabídky, vysokých cen projekčních a stavebních prací a zdlouhavých povolovacích procesů budou pravděpodobně i nadále stoupat, a to v řádu jednotek procent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,“ říká Petr Michálek, generální ředitel Skanska Reality.</w:t>
      </w:r>
    </w:p>
    <w:p w:rsidR="005A5253" w:rsidRPr="002721AB" w:rsidRDefault="005A5253" w:rsidP="005A5253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bookmarkStart w:id="4" w:name="_Hlk46151280"/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Ke konci června bylo v</w:t>
      </w:r>
      <w:r w:rsidR="004100F4" w:rsidRPr="002721AB">
        <w:rPr>
          <w:rFonts w:ascii="Arial" w:hAnsi="Arial" w:cs="Arial"/>
          <w:color w:val="0D0D0D" w:themeColor="text1" w:themeTint="F2"/>
          <w:sz w:val="18"/>
          <w:szCs w:val="18"/>
        </w:rPr>
        <w:t> 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nabídkách</w:t>
      </w:r>
      <w:r w:rsidR="004100F4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581933" w:rsidRPr="002721AB">
        <w:rPr>
          <w:rFonts w:ascii="Arial" w:hAnsi="Arial" w:cs="Arial"/>
          <w:color w:val="0D0D0D" w:themeColor="text1" w:themeTint="F2"/>
          <w:sz w:val="18"/>
          <w:szCs w:val="18"/>
        </w:rPr>
        <w:t>5 800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nových bytů.</w:t>
      </w:r>
      <w:r w:rsidR="004100F4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Téměř 60 procent z nich se soustřeďuje do projektů, které jsou v Praze 4, 5 a 9.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581933" w:rsidRPr="002721AB">
        <w:rPr>
          <w:rFonts w:ascii="Arial" w:hAnsi="Arial" w:cs="Arial"/>
          <w:color w:val="0D0D0D" w:themeColor="text1" w:themeTint="F2"/>
          <w:sz w:val="18"/>
          <w:szCs w:val="18"/>
        </w:rPr>
        <w:t>Necelých 42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procent těchto bytů bylo dvoupokojových. Třípokojových bylo</w:t>
      </w:r>
      <w:r w:rsidR="00581933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24,5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a jednopokojových</w:t>
      </w:r>
      <w:r w:rsidR="00581933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20,3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procent. Čtyřpokojových a větších pak</w:t>
      </w:r>
      <w:r w:rsidR="00581933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4100F4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okolo </w:t>
      </w:r>
      <w:r w:rsidR="00581933" w:rsidRPr="002721AB">
        <w:rPr>
          <w:rFonts w:ascii="Arial" w:hAnsi="Arial" w:cs="Arial"/>
          <w:color w:val="0D0D0D" w:themeColor="text1" w:themeTint="F2"/>
          <w:sz w:val="18"/>
          <w:szCs w:val="18"/>
        </w:rPr>
        <w:t>13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procent. Průměrná cena nabízených bytů se tentokrát</w:t>
      </w:r>
      <w:r w:rsidR="004100F4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mezikvartálně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4100F4" w:rsidRPr="002721AB">
        <w:rPr>
          <w:rFonts w:ascii="Arial" w:hAnsi="Arial" w:cs="Arial"/>
          <w:color w:val="0D0D0D" w:themeColor="text1" w:themeTint="F2"/>
          <w:sz w:val="18"/>
          <w:szCs w:val="18"/>
        </w:rPr>
        <w:t>zvedla jen o 0,2 procenta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na</w:t>
      </w:r>
      <w:r w:rsidR="00581933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112 154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korun na m</w:t>
      </w:r>
      <w:r w:rsidRPr="00B449C3">
        <w:rPr>
          <w:rFonts w:ascii="Arial" w:hAnsi="Arial" w:cs="Arial"/>
          <w:color w:val="0D0D0D" w:themeColor="text1" w:themeTint="F2"/>
          <w:sz w:val="18"/>
          <w:szCs w:val="18"/>
          <w:vertAlign w:val="superscript"/>
        </w:rPr>
        <w:t>2</w:t>
      </w:r>
      <w:r w:rsidR="004100F4" w:rsidRPr="002721A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:rsidR="00F0236C" w:rsidRDefault="00F0236C" w:rsidP="004100F4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F0236C" w:rsidRDefault="00F0236C" w:rsidP="004100F4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F0236C" w:rsidRDefault="00F0236C" w:rsidP="004100F4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F0236C" w:rsidRDefault="00F0236C" w:rsidP="004100F4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B40CDA" w:rsidRDefault="00B40CDA" w:rsidP="004100F4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4100F4" w:rsidRPr="002721AB" w:rsidRDefault="004100F4" w:rsidP="004100F4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„</w:t>
      </w:r>
      <w:r w:rsidRPr="002721AB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Zásoba nových bytů oproti minulému čtvrtletí posílila o 1 050 jednotek, což je vůbec nejvyšší nárůst, jaký jsme za dobu sledování trhu zaznamenali. Developeři totiž reagovali na v poslední době opětovně rostoucí poptávku po bytech a rozhodli se s uvedením nových projektů nečekat. My sami jsme původně kvůli </w:t>
      </w:r>
      <w:proofErr w:type="spellStart"/>
      <w:r w:rsidRPr="002721AB">
        <w:rPr>
          <w:rFonts w:ascii="Arial" w:hAnsi="Arial" w:cs="Arial"/>
          <w:i/>
          <w:color w:val="0D0D0D" w:themeColor="text1" w:themeTint="F2"/>
          <w:sz w:val="18"/>
          <w:szCs w:val="18"/>
        </w:rPr>
        <w:t>koronavirové</w:t>
      </w:r>
      <w:proofErr w:type="spellEnd"/>
      <w:r w:rsidRPr="002721AB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 situaci uvažovali, že některé projekty odložíme až na podzim, ale nakonec nebyl důvod,“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popisuje situaci na trhu zakladatel a šéf </w:t>
      </w:r>
      <w:proofErr w:type="spellStart"/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Central</w:t>
      </w:r>
      <w:proofErr w:type="spellEnd"/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Group Dušan Kunovský.   </w:t>
      </w:r>
    </w:p>
    <w:p w:rsidR="005A5253" w:rsidRPr="002721AB" w:rsidRDefault="005A5253" w:rsidP="005A5253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bookmarkStart w:id="5" w:name="_Hlk46152407"/>
      <w:bookmarkEnd w:id="4"/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Mimo Prahu se ve druhém čtvrtletí prodalo </w:t>
      </w:r>
      <w:r w:rsidR="008A1A0E" w:rsidRPr="002721AB">
        <w:rPr>
          <w:rFonts w:ascii="Arial" w:hAnsi="Arial" w:cs="Arial"/>
          <w:color w:val="0D0D0D" w:themeColor="text1" w:themeTint="F2"/>
          <w:sz w:val="18"/>
          <w:szCs w:val="18"/>
        </w:rPr>
        <w:t>1 671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bytů, což je </w:t>
      </w:r>
      <w:r w:rsidR="008A1A0E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zhruba 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o </w:t>
      </w:r>
      <w:r w:rsidR="008A1A0E" w:rsidRPr="002721AB">
        <w:rPr>
          <w:rFonts w:ascii="Arial" w:hAnsi="Arial" w:cs="Arial"/>
          <w:color w:val="0D0D0D" w:themeColor="text1" w:themeTint="F2"/>
          <w:sz w:val="18"/>
          <w:szCs w:val="18"/>
        </w:rPr>
        <w:t>procento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více než v prvním kvartálu</w:t>
      </w:r>
      <w:bookmarkEnd w:id="5"/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. Nejvíce z nich bylo v Jihomoravském (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515 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bytů), Středočeském (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>250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) a Plzeňském (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>234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) kraji. Jejich podíl na celkových prodejích byl 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>60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procentní. Čtvrtým nejsilnějším regionem byla Vysočina, kde se jinak kvartální prodeje počítají zpravidla pouze na desítky nových bytů. Tentokrát si zde ale své kupce našlo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171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nových bytů. Nejméně bytů se naopak prodalo na Ústecku, </w:t>
      </w:r>
      <w:r w:rsidR="00137875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v 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Královehradeckém a Jihočeském kraji. Celkově to bylo pouze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necelých 50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jednotek. Průměrná cena prodaných bytů v regionech zdražila o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1 880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korun na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61 933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korun na m</w:t>
      </w:r>
      <w:r w:rsidRPr="00B449C3">
        <w:rPr>
          <w:rFonts w:ascii="Arial" w:hAnsi="Arial" w:cs="Arial"/>
          <w:color w:val="0D0D0D" w:themeColor="text1" w:themeTint="F2"/>
          <w:sz w:val="18"/>
          <w:szCs w:val="18"/>
          <w:vertAlign w:val="superscript"/>
        </w:rPr>
        <w:t>2</w:t>
      </w:r>
      <w:r w:rsidRPr="002721A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870DAD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Celková nabídka nových bytů byla ke konci června v objemu 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>6 870</w:t>
      </w:r>
      <w:r w:rsidR="00870DAD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kusů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>, tedy o 2</w:t>
      </w:r>
      <w:r w:rsidR="00365119">
        <w:rPr>
          <w:rFonts w:ascii="Arial" w:hAnsi="Arial" w:cs="Arial"/>
          <w:color w:val="0D0D0D" w:themeColor="text1" w:themeTint="F2"/>
          <w:sz w:val="18"/>
          <w:szCs w:val="18"/>
        </w:rPr>
        <w:t>,5</w:t>
      </w:r>
      <w:r w:rsidR="00DD0110" w:rsidRPr="002721AB">
        <w:rPr>
          <w:rFonts w:ascii="Arial" w:hAnsi="Arial" w:cs="Arial"/>
          <w:color w:val="0D0D0D" w:themeColor="text1" w:themeTint="F2"/>
          <w:sz w:val="18"/>
          <w:szCs w:val="18"/>
        </w:rPr>
        <w:t xml:space="preserve"> procenta méně než v předchozím kvartálu</w:t>
      </w:r>
      <w:r w:rsidR="00870DAD" w:rsidRPr="002721A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:rsidR="005A5253" w:rsidRPr="002721AB" w:rsidRDefault="005A5253" w:rsidP="008B799F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:rsidR="00F0236C" w:rsidRDefault="00F0236C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40CDA" w:rsidRDefault="00B40CDA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40CDA" w:rsidRDefault="00B40CDA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40CDA" w:rsidRDefault="00B40CDA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  <w:bookmarkStart w:id="6" w:name="_GoBack"/>
      <w:bookmarkEnd w:id="6"/>
    </w:p>
    <w:p w:rsidR="00F0236C" w:rsidRDefault="00F0236C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F0236C" w:rsidRDefault="00F0236C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F0236C" w:rsidRDefault="00F0236C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F0236C" w:rsidRDefault="00F0236C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F0236C" w:rsidRPr="002721AB" w:rsidRDefault="00F0236C" w:rsidP="005A0D82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4728A0" w:rsidRPr="002721AB" w:rsidRDefault="004728A0" w:rsidP="004728A0">
      <w:pPr>
        <w:spacing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721AB">
        <w:rPr>
          <w:rFonts w:ascii="Arial" w:hAnsi="Arial" w:cs="Arial"/>
          <w:b/>
          <w:sz w:val="18"/>
          <w:szCs w:val="18"/>
        </w:rPr>
        <w:t>Kontakty pro média:</w:t>
      </w:r>
    </w:p>
    <w:p w:rsidR="004728A0" w:rsidRPr="002721AB" w:rsidRDefault="004728A0" w:rsidP="004728A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2721AB">
        <w:rPr>
          <w:rFonts w:ascii="Arial" w:hAnsi="Arial" w:cs="Arial"/>
          <w:b/>
          <w:i/>
          <w:sz w:val="18"/>
          <w:szCs w:val="18"/>
        </w:rPr>
        <w:t>Trigema</w:t>
      </w:r>
      <w:proofErr w:type="spellEnd"/>
      <w:r w:rsidRPr="002721AB">
        <w:rPr>
          <w:rFonts w:ascii="Arial" w:hAnsi="Arial" w:cs="Arial"/>
          <w:i/>
          <w:sz w:val="18"/>
          <w:szCs w:val="18"/>
        </w:rPr>
        <w:t xml:space="preserve">: </w:t>
      </w:r>
      <w:r w:rsidRPr="002721AB">
        <w:rPr>
          <w:rFonts w:ascii="Arial" w:hAnsi="Arial" w:cs="Arial"/>
          <w:i/>
          <w:sz w:val="18"/>
          <w:szCs w:val="18"/>
        </w:rPr>
        <w:tab/>
      </w:r>
      <w:r w:rsidRPr="002721AB">
        <w:rPr>
          <w:rFonts w:ascii="Arial" w:hAnsi="Arial" w:cs="Arial"/>
          <w:i/>
          <w:sz w:val="18"/>
          <w:szCs w:val="18"/>
        </w:rPr>
        <w:tab/>
      </w:r>
      <w:r w:rsidR="00F0236C">
        <w:rPr>
          <w:rFonts w:ascii="Arial" w:hAnsi="Arial" w:cs="Arial"/>
          <w:i/>
          <w:sz w:val="18"/>
          <w:szCs w:val="18"/>
        </w:rPr>
        <w:t xml:space="preserve">       </w:t>
      </w:r>
      <w:r w:rsidRPr="002721AB">
        <w:rPr>
          <w:rFonts w:ascii="Arial" w:hAnsi="Arial" w:cs="Arial"/>
          <w:i/>
          <w:sz w:val="18"/>
          <w:szCs w:val="18"/>
        </w:rPr>
        <w:t xml:space="preserve">Radek Polák, tiskový mluvčí, tel: 778 747 113, </w:t>
      </w:r>
      <w:hyperlink r:id="rId6" w:history="1">
        <w:r w:rsidRPr="002721AB">
          <w:rPr>
            <w:rStyle w:val="Hypertextovodkaz"/>
            <w:rFonts w:ascii="Arial" w:hAnsi="Arial" w:cs="Arial"/>
            <w:i/>
            <w:sz w:val="18"/>
            <w:szCs w:val="18"/>
          </w:rPr>
          <w:t>polak@trigema.cz</w:t>
        </w:r>
      </w:hyperlink>
    </w:p>
    <w:p w:rsidR="00EC6A20" w:rsidRPr="002721AB" w:rsidRDefault="004728A0" w:rsidP="004728A0">
      <w:pPr>
        <w:spacing w:after="0" w:line="360" w:lineRule="auto"/>
        <w:ind w:left="2124" w:hanging="2124"/>
        <w:jc w:val="both"/>
        <w:rPr>
          <w:rFonts w:ascii="Arial" w:hAnsi="Arial" w:cs="Arial"/>
          <w:i/>
          <w:sz w:val="18"/>
          <w:szCs w:val="18"/>
        </w:rPr>
      </w:pPr>
      <w:r w:rsidRPr="002721AB">
        <w:rPr>
          <w:rFonts w:ascii="Arial" w:hAnsi="Arial" w:cs="Arial"/>
          <w:b/>
          <w:i/>
          <w:sz w:val="18"/>
          <w:szCs w:val="18"/>
        </w:rPr>
        <w:t>Skanska Reality</w:t>
      </w:r>
      <w:r w:rsidRPr="002721AB">
        <w:rPr>
          <w:rFonts w:ascii="Arial" w:hAnsi="Arial" w:cs="Arial"/>
          <w:i/>
          <w:sz w:val="18"/>
          <w:szCs w:val="18"/>
        </w:rPr>
        <w:t xml:space="preserve">: </w:t>
      </w:r>
      <w:r w:rsidRPr="002721AB">
        <w:rPr>
          <w:rFonts w:ascii="Arial" w:hAnsi="Arial" w:cs="Arial"/>
          <w:i/>
          <w:sz w:val="18"/>
          <w:szCs w:val="18"/>
        </w:rPr>
        <w:tab/>
      </w:r>
      <w:r w:rsidR="00F0236C">
        <w:rPr>
          <w:rFonts w:ascii="Arial" w:hAnsi="Arial" w:cs="Arial"/>
          <w:i/>
          <w:sz w:val="18"/>
          <w:szCs w:val="18"/>
        </w:rPr>
        <w:t xml:space="preserve">       </w:t>
      </w:r>
      <w:r w:rsidRPr="002721AB">
        <w:rPr>
          <w:rFonts w:ascii="Arial" w:hAnsi="Arial" w:cs="Arial"/>
          <w:i/>
          <w:sz w:val="18"/>
          <w:szCs w:val="18"/>
        </w:rPr>
        <w:t xml:space="preserve">Barbora </w:t>
      </w:r>
      <w:r w:rsidR="005A0D82" w:rsidRPr="002721AB">
        <w:rPr>
          <w:rFonts w:ascii="Arial" w:hAnsi="Arial" w:cs="Arial"/>
          <w:i/>
          <w:sz w:val="18"/>
          <w:szCs w:val="18"/>
        </w:rPr>
        <w:t>Lindauer</w:t>
      </w:r>
      <w:r w:rsidRPr="002721AB">
        <w:rPr>
          <w:rFonts w:ascii="Arial" w:hAnsi="Arial" w:cs="Arial"/>
          <w:i/>
          <w:sz w:val="18"/>
          <w:szCs w:val="18"/>
        </w:rPr>
        <w:t xml:space="preserve">, marketing a komunikace – rezidenční development, </w:t>
      </w:r>
      <w:r w:rsidR="0022497C" w:rsidRPr="002721AB">
        <w:rPr>
          <w:rFonts w:ascii="Arial" w:hAnsi="Arial" w:cs="Arial"/>
          <w:i/>
          <w:sz w:val="18"/>
          <w:szCs w:val="18"/>
        </w:rPr>
        <w:t xml:space="preserve">       </w:t>
      </w:r>
    </w:p>
    <w:p w:rsidR="005A0D82" w:rsidRPr="002721AB" w:rsidRDefault="00F0236C" w:rsidP="00EC6A20">
      <w:pPr>
        <w:spacing w:after="0" w:line="360" w:lineRule="auto"/>
        <w:ind w:left="21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4728A0" w:rsidRPr="002721AB">
        <w:rPr>
          <w:rFonts w:ascii="Arial" w:hAnsi="Arial" w:cs="Arial"/>
          <w:i/>
          <w:sz w:val="18"/>
          <w:szCs w:val="18"/>
        </w:rPr>
        <w:t xml:space="preserve">tel: 776 457 429, </w:t>
      </w:r>
      <w:hyperlink r:id="rId7" w:history="1">
        <w:r w:rsidR="0022497C" w:rsidRPr="002721AB">
          <w:rPr>
            <w:rStyle w:val="Hypertextovodkaz"/>
            <w:rFonts w:ascii="Arial" w:hAnsi="Arial" w:cs="Arial"/>
            <w:i/>
            <w:sz w:val="18"/>
            <w:szCs w:val="18"/>
          </w:rPr>
          <w:t>barbora.lindauer@skanska.cz</w:t>
        </w:r>
      </w:hyperlink>
    </w:p>
    <w:p w:rsidR="004100F4" w:rsidRDefault="004728A0" w:rsidP="00687C0C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2721AB">
        <w:rPr>
          <w:rFonts w:ascii="Arial" w:hAnsi="Arial" w:cs="Arial"/>
          <w:b/>
          <w:i/>
          <w:sz w:val="18"/>
          <w:szCs w:val="18"/>
        </w:rPr>
        <w:t>Central</w:t>
      </w:r>
      <w:proofErr w:type="spellEnd"/>
      <w:r w:rsidRPr="002721AB">
        <w:rPr>
          <w:rFonts w:ascii="Arial" w:hAnsi="Arial" w:cs="Arial"/>
          <w:b/>
          <w:i/>
          <w:sz w:val="18"/>
          <w:szCs w:val="18"/>
        </w:rPr>
        <w:t xml:space="preserve"> Group</w:t>
      </w:r>
      <w:r w:rsidR="005A0D82" w:rsidRPr="002721AB">
        <w:rPr>
          <w:rFonts w:ascii="Arial" w:hAnsi="Arial" w:cs="Arial"/>
          <w:i/>
          <w:sz w:val="18"/>
          <w:szCs w:val="18"/>
        </w:rPr>
        <w:t xml:space="preserve">: </w:t>
      </w:r>
      <w:r w:rsidR="004100F4" w:rsidRPr="002721AB">
        <w:rPr>
          <w:rFonts w:ascii="Arial" w:hAnsi="Arial" w:cs="Arial"/>
          <w:i/>
          <w:sz w:val="18"/>
          <w:szCs w:val="18"/>
        </w:rPr>
        <w:t xml:space="preserve">    </w:t>
      </w:r>
      <w:r w:rsidR="00F0236C">
        <w:rPr>
          <w:rFonts w:ascii="Arial" w:hAnsi="Arial" w:cs="Arial"/>
          <w:i/>
          <w:sz w:val="18"/>
          <w:szCs w:val="18"/>
        </w:rPr>
        <w:t xml:space="preserve">  </w:t>
      </w:r>
      <w:r w:rsidR="00687C0C">
        <w:rPr>
          <w:rFonts w:ascii="Arial" w:hAnsi="Arial" w:cs="Arial"/>
          <w:i/>
          <w:sz w:val="18"/>
          <w:szCs w:val="18"/>
        </w:rPr>
        <w:t xml:space="preserve">                 </w:t>
      </w:r>
      <w:r w:rsidR="004100F4" w:rsidRPr="002721AB">
        <w:rPr>
          <w:rFonts w:ascii="Arial" w:hAnsi="Arial" w:cs="Arial"/>
          <w:i/>
          <w:sz w:val="18"/>
          <w:szCs w:val="18"/>
        </w:rPr>
        <w:t>Ondřej Šťastný, vedoucí úseku analytiky a komunikace, tel. 604 645 424,</w:t>
      </w:r>
      <w:r w:rsidR="00F0236C">
        <w:rPr>
          <w:rFonts w:ascii="Arial" w:hAnsi="Arial" w:cs="Arial"/>
          <w:i/>
          <w:sz w:val="18"/>
          <w:szCs w:val="18"/>
        </w:rPr>
        <w:t xml:space="preserve">      </w:t>
      </w:r>
      <w:r w:rsidR="00687C0C">
        <w:rPr>
          <w:rFonts w:ascii="Arial" w:hAnsi="Arial" w:cs="Arial"/>
          <w:i/>
          <w:sz w:val="18"/>
          <w:szCs w:val="18"/>
        </w:rPr>
        <w:tab/>
      </w:r>
      <w:r w:rsidR="00687C0C">
        <w:rPr>
          <w:rFonts w:ascii="Arial" w:hAnsi="Arial" w:cs="Arial"/>
          <w:i/>
          <w:sz w:val="18"/>
          <w:szCs w:val="18"/>
        </w:rPr>
        <w:tab/>
      </w:r>
      <w:r w:rsidR="00687C0C">
        <w:rPr>
          <w:rFonts w:ascii="Arial" w:hAnsi="Arial" w:cs="Arial"/>
          <w:i/>
          <w:sz w:val="18"/>
          <w:szCs w:val="18"/>
        </w:rPr>
        <w:tab/>
      </w:r>
      <w:r w:rsidR="00687C0C">
        <w:rPr>
          <w:rFonts w:ascii="Arial" w:hAnsi="Arial" w:cs="Arial"/>
          <w:i/>
          <w:sz w:val="18"/>
          <w:szCs w:val="18"/>
        </w:rPr>
        <w:tab/>
      </w:r>
      <w:r w:rsidR="00F0236C">
        <w:rPr>
          <w:rFonts w:ascii="Arial" w:hAnsi="Arial" w:cs="Arial"/>
          <w:i/>
          <w:sz w:val="18"/>
          <w:szCs w:val="18"/>
        </w:rPr>
        <w:t xml:space="preserve">      </w:t>
      </w:r>
      <w:r w:rsidR="00687C0C">
        <w:rPr>
          <w:rFonts w:ascii="Arial" w:hAnsi="Arial" w:cs="Arial"/>
          <w:i/>
          <w:sz w:val="18"/>
          <w:szCs w:val="18"/>
        </w:rPr>
        <w:t xml:space="preserve"> </w:t>
      </w:r>
      <w:hyperlink r:id="rId8" w:history="1">
        <w:r w:rsidR="00687C0C" w:rsidRPr="00E9500C">
          <w:rPr>
            <w:rStyle w:val="Hypertextovodkaz"/>
            <w:rFonts w:ascii="Arial" w:hAnsi="Arial" w:cs="Arial"/>
            <w:i/>
            <w:sz w:val="18"/>
            <w:szCs w:val="18"/>
          </w:rPr>
          <w:t>stastny</w:t>
        </w:r>
        <w:r w:rsidR="00687C0C" w:rsidRPr="00E9500C">
          <w:rPr>
            <w:rStyle w:val="Hypertextovodkaz"/>
            <w:rFonts w:ascii="Calibri" w:hAnsi="Calibri" w:cs="Calibri"/>
            <w:i/>
            <w:sz w:val="18"/>
            <w:szCs w:val="18"/>
          </w:rPr>
          <w:t>@</w:t>
        </w:r>
        <w:r w:rsidR="00687C0C" w:rsidRPr="00E9500C">
          <w:rPr>
            <w:rStyle w:val="Hypertextovodkaz"/>
            <w:rFonts w:ascii="Arial" w:hAnsi="Arial" w:cs="Arial"/>
            <w:i/>
            <w:sz w:val="18"/>
            <w:szCs w:val="18"/>
          </w:rPr>
          <w:t>central-group.cz</w:t>
        </w:r>
      </w:hyperlink>
    </w:p>
    <w:p w:rsidR="00687C0C" w:rsidRPr="002721AB" w:rsidRDefault="00687C0C" w:rsidP="00687C0C">
      <w:pPr>
        <w:spacing w:after="0" w:line="360" w:lineRule="auto"/>
        <w:jc w:val="both"/>
        <w:rPr>
          <w:rStyle w:val="Hypertextovodkaz"/>
          <w:rFonts w:ascii="Arial" w:hAnsi="Arial" w:cs="Arial"/>
          <w:i/>
          <w:sz w:val="18"/>
          <w:szCs w:val="18"/>
        </w:rPr>
      </w:pPr>
    </w:p>
    <w:p w:rsidR="004728A0" w:rsidRDefault="004728A0" w:rsidP="004728A0">
      <w:pPr>
        <w:spacing w:after="0" w:line="360" w:lineRule="auto"/>
        <w:ind w:left="2124" w:hanging="2124"/>
        <w:jc w:val="both"/>
        <w:rPr>
          <w:rStyle w:val="Hypertextovodkaz"/>
          <w:rFonts w:ascii="Arial" w:hAnsi="Arial" w:cs="Arial"/>
          <w:i/>
          <w:sz w:val="20"/>
          <w:szCs w:val="20"/>
        </w:rPr>
      </w:pPr>
    </w:p>
    <w:p w:rsidR="00DF36D1" w:rsidRDefault="00DF36D1" w:rsidP="004728A0">
      <w:pPr>
        <w:spacing w:after="0"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</w:p>
    <w:sectPr w:rsidR="00DF36D1" w:rsidSect="00242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274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7C" w:rsidRDefault="00345F7C" w:rsidP="00177F71">
      <w:pPr>
        <w:spacing w:after="0" w:line="240" w:lineRule="auto"/>
      </w:pPr>
      <w:r>
        <w:separator/>
      </w:r>
    </w:p>
  </w:endnote>
  <w:endnote w:type="continuationSeparator" w:id="0">
    <w:p w:rsidR="00345F7C" w:rsidRDefault="00345F7C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A8" w:rsidRPr="002721AB" w:rsidRDefault="00011AA8" w:rsidP="00011AA8">
    <w:pPr>
      <w:autoSpaceDE w:val="0"/>
      <w:autoSpaceDN w:val="0"/>
      <w:adjustRightInd w:val="0"/>
      <w:spacing w:after="0"/>
      <w:jc w:val="both"/>
      <w:rPr>
        <w:rFonts w:ascii="Arial" w:hAnsi="Arial" w:cs="Arial"/>
        <w:i/>
        <w:sz w:val="18"/>
        <w:szCs w:val="18"/>
      </w:rPr>
    </w:pPr>
    <w:r w:rsidRPr="002721AB">
      <w:rPr>
        <w:rFonts w:ascii="Arial" w:hAnsi="Arial" w:cs="Arial"/>
        <w:i/>
        <w:sz w:val="18"/>
        <w:szCs w:val="18"/>
      </w:rPr>
      <w:t xml:space="preserve">Společné analýzy trhu společností </w:t>
    </w:r>
    <w:proofErr w:type="spellStart"/>
    <w:r w:rsidRPr="002721AB">
      <w:rPr>
        <w:rFonts w:ascii="Arial" w:hAnsi="Arial" w:cs="Arial"/>
        <w:i/>
        <w:sz w:val="18"/>
        <w:szCs w:val="18"/>
      </w:rPr>
      <w:t>Trigema</w:t>
    </w:r>
    <w:proofErr w:type="spellEnd"/>
    <w:r w:rsidRPr="002721AB">
      <w:rPr>
        <w:rFonts w:ascii="Arial" w:hAnsi="Arial" w:cs="Arial"/>
        <w:i/>
        <w:sz w:val="18"/>
        <w:szCs w:val="18"/>
      </w:rPr>
      <w:t xml:space="preserve">, Skanska Reality a </w:t>
    </w:r>
    <w:proofErr w:type="spellStart"/>
    <w:r w:rsidRPr="002721AB">
      <w:rPr>
        <w:rFonts w:ascii="Arial" w:hAnsi="Arial" w:cs="Arial"/>
        <w:i/>
        <w:sz w:val="18"/>
        <w:szCs w:val="18"/>
      </w:rPr>
      <w:t>Central</w:t>
    </w:r>
    <w:proofErr w:type="spellEnd"/>
    <w:r w:rsidRPr="002721AB">
      <w:rPr>
        <w:rFonts w:ascii="Arial" w:hAnsi="Arial" w:cs="Arial"/>
        <w:i/>
        <w:sz w:val="18"/>
        <w:szCs w:val="18"/>
      </w:rPr>
      <w:t xml:space="preserve"> Group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7C" w:rsidRDefault="00345F7C" w:rsidP="00177F71">
      <w:pPr>
        <w:spacing w:after="0" w:line="240" w:lineRule="auto"/>
      </w:pPr>
      <w:r>
        <w:separator/>
      </w:r>
    </w:p>
  </w:footnote>
  <w:footnote w:type="continuationSeparator" w:id="0">
    <w:p w:rsidR="00345F7C" w:rsidRDefault="00345F7C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71"/>
    <w:rsid w:val="0000164B"/>
    <w:rsid w:val="00001E4D"/>
    <w:rsid w:val="00011AA8"/>
    <w:rsid w:val="00015322"/>
    <w:rsid w:val="00020E78"/>
    <w:rsid w:val="00021F72"/>
    <w:rsid w:val="00033E01"/>
    <w:rsid w:val="000373CA"/>
    <w:rsid w:val="000439DF"/>
    <w:rsid w:val="000538E0"/>
    <w:rsid w:val="00066F89"/>
    <w:rsid w:val="0009340C"/>
    <w:rsid w:val="000A292C"/>
    <w:rsid w:val="000A73B7"/>
    <w:rsid w:val="000B3CE3"/>
    <w:rsid w:val="000C103F"/>
    <w:rsid w:val="000D646F"/>
    <w:rsid w:val="000F372B"/>
    <w:rsid w:val="00111A54"/>
    <w:rsid w:val="00115E88"/>
    <w:rsid w:val="00121F7F"/>
    <w:rsid w:val="00122172"/>
    <w:rsid w:val="0013469B"/>
    <w:rsid w:val="00137875"/>
    <w:rsid w:val="0015432A"/>
    <w:rsid w:val="00161882"/>
    <w:rsid w:val="00162BA2"/>
    <w:rsid w:val="001678DC"/>
    <w:rsid w:val="00177F71"/>
    <w:rsid w:val="0018407E"/>
    <w:rsid w:val="001A18A6"/>
    <w:rsid w:val="001A514C"/>
    <w:rsid w:val="001A71FF"/>
    <w:rsid w:val="001B0FE5"/>
    <w:rsid w:val="001B537C"/>
    <w:rsid w:val="001C2D8A"/>
    <w:rsid w:val="001E7704"/>
    <w:rsid w:val="001F0D84"/>
    <w:rsid w:val="00200EBC"/>
    <w:rsid w:val="00201C6A"/>
    <w:rsid w:val="002159BE"/>
    <w:rsid w:val="0022497C"/>
    <w:rsid w:val="00224DA2"/>
    <w:rsid w:val="0023253C"/>
    <w:rsid w:val="00236800"/>
    <w:rsid w:val="00237407"/>
    <w:rsid w:val="002378ED"/>
    <w:rsid w:val="00242BB6"/>
    <w:rsid w:val="00255598"/>
    <w:rsid w:val="002559B9"/>
    <w:rsid w:val="00260274"/>
    <w:rsid w:val="002609C3"/>
    <w:rsid w:val="00267324"/>
    <w:rsid w:val="002721AB"/>
    <w:rsid w:val="0027770D"/>
    <w:rsid w:val="00284FE7"/>
    <w:rsid w:val="00285F6B"/>
    <w:rsid w:val="00291D69"/>
    <w:rsid w:val="002931AD"/>
    <w:rsid w:val="002A06ED"/>
    <w:rsid w:val="002A2E9B"/>
    <w:rsid w:val="002B3D29"/>
    <w:rsid w:val="002B78C1"/>
    <w:rsid w:val="002C7B01"/>
    <w:rsid w:val="002E1F4A"/>
    <w:rsid w:val="002E65DB"/>
    <w:rsid w:val="003163AB"/>
    <w:rsid w:val="00321404"/>
    <w:rsid w:val="003301AA"/>
    <w:rsid w:val="0033134A"/>
    <w:rsid w:val="00343390"/>
    <w:rsid w:val="00343EE4"/>
    <w:rsid w:val="00345F7C"/>
    <w:rsid w:val="003504D4"/>
    <w:rsid w:val="00356CC9"/>
    <w:rsid w:val="00365119"/>
    <w:rsid w:val="00391841"/>
    <w:rsid w:val="003968F3"/>
    <w:rsid w:val="003B0BEE"/>
    <w:rsid w:val="003C3245"/>
    <w:rsid w:val="003C4065"/>
    <w:rsid w:val="00401218"/>
    <w:rsid w:val="004021F9"/>
    <w:rsid w:val="004100F4"/>
    <w:rsid w:val="00410479"/>
    <w:rsid w:val="0043326C"/>
    <w:rsid w:val="00434A4F"/>
    <w:rsid w:val="004404E1"/>
    <w:rsid w:val="00440BCF"/>
    <w:rsid w:val="004459A2"/>
    <w:rsid w:val="0045378E"/>
    <w:rsid w:val="004645CD"/>
    <w:rsid w:val="004728A0"/>
    <w:rsid w:val="004A158B"/>
    <w:rsid w:val="004B6D4F"/>
    <w:rsid w:val="004C1C16"/>
    <w:rsid w:val="004C7040"/>
    <w:rsid w:val="004C722F"/>
    <w:rsid w:val="004E0411"/>
    <w:rsid w:val="004E2CBE"/>
    <w:rsid w:val="004E65D2"/>
    <w:rsid w:val="004E7283"/>
    <w:rsid w:val="004E7924"/>
    <w:rsid w:val="00503D08"/>
    <w:rsid w:val="00511157"/>
    <w:rsid w:val="00514A1E"/>
    <w:rsid w:val="00514EEF"/>
    <w:rsid w:val="00515D70"/>
    <w:rsid w:val="005266D3"/>
    <w:rsid w:val="00536AB3"/>
    <w:rsid w:val="0056776C"/>
    <w:rsid w:val="005800E5"/>
    <w:rsid w:val="005800FF"/>
    <w:rsid w:val="00581649"/>
    <w:rsid w:val="00581933"/>
    <w:rsid w:val="005A0D82"/>
    <w:rsid w:val="005A5253"/>
    <w:rsid w:val="005B350B"/>
    <w:rsid w:val="005C47EA"/>
    <w:rsid w:val="005E3BAD"/>
    <w:rsid w:val="005F57CF"/>
    <w:rsid w:val="006126DE"/>
    <w:rsid w:val="006178CE"/>
    <w:rsid w:val="0062507B"/>
    <w:rsid w:val="00637439"/>
    <w:rsid w:val="00656923"/>
    <w:rsid w:val="006700F2"/>
    <w:rsid w:val="006702ED"/>
    <w:rsid w:val="00671305"/>
    <w:rsid w:val="00676A04"/>
    <w:rsid w:val="00687C0C"/>
    <w:rsid w:val="006976CD"/>
    <w:rsid w:val="006A32E7"/>
    <w:rsid w:val="006A5F2E"/>
    <w:rsid w:val="006B2D8C"/>
    <w:rsid w:val="006C2D82"/>
    <w:rsid w:val="006D4C31"/>
    <w:rsid w:val="006E12A6"/>
    <w:rsid w:val="006F3380"/>
    <w:rsid w:val="00707388"/>
    <w:rsid w:val="00711A3B"/>
    <w:rsid w:val="00740AE8"/>
    <w:rsid w:val="00741741"/>
    <w:rsid w:val="00763F8B"/>
    <w:rsid w:val="0076540D"/>
    <w:rsid w:val="007675FB"/>
    <w:rsid w:val="007700E7"/>
    <w:rsid w:val="007765C8"/>
    <w:rsid w:val="007774A2"/>
    <w:rsid w:val="007778F2"/>
    <w:rsid w:val="007A02F3"/>
    <w:rsid w:val="007B0276"/>
    <w:rsid w:val="007C3B00"/>
    <w:rsid w:val="007C3E19"/>
    <w:rsid w:val="007E0528"/>
    <w:rsid w:val="007E4529"/>
    <w:rsid w:val="007F5934"/>
    <w:rsid w:val="008046B1"/>
    <w:rsid w:val="00815B2E"/>
    <w:rsid w:val="00830373"/>
    <w:rsid w:val="00832A21"/>
    <w:rsid w:val="00837110"/>
    <w:rsid w:val="0084278D"/>
    <w:rsid w:val="008654DC"/>
    <w:rsid w:val="00870DAD"/>
    <w:rsid w:val="00871823"/>
    <w:rsid w:val="00885459"/>
    <w:rsid w:val="0089477F"/>
    <w:rsid w:val="008A1A0E"/>
    <w:rsid w:val="008A1F81"/>
    <w:rsid w:val="008A28B0"/>
    <w:rsid w:val="008A6BEC"/>
    <w:rsid w:val="008B357B"/>
    <w:rsid w:val="008B799F"/>
    <w:rsid w:val="008C00CA"/>
    <w:rsid w:val="008C6344"/>
    <w:rsid w:val="008C72F0"/>
    <w:rsid w:val="008D0341"/>
    <w:rsid w:val="008D2A30"/>
    <w:rsid w:val="008D5F0B"/>
    <w:rsid w:val="008E5348"/>
    <w:rsid w:val="008F159B"/>
    <w:rsid w:val="00905234"/>
    <w:rsid w:val="009117C8"/>
    <w:rsid w:val="009226E3"/>
    <w:rsid w:val="0092542E"/>
    <w:rsid w:val="00926DB5"/>
    <w:rsid w:val="00930AAD"/>
    <w:rsid w:val="00943566"/>
    <w:rsid w:val="0095671B"/>
    <w:rsid w:val="009675A3"/>
    <w:rsid w:val="00970549"/>
    <w:rsid w:val="009715FC"/>
    <w:rsid w:val="00990D76"/>
    <w:rsid w:val="00994B2C"/>
    <w:rsid w:val="00997C12"/>
    <w:rsid w:val="009A3703"/>
    <w:rsid w:val="009B33F0"/>
    <w:rsid w:val="009C6F28"/>
    <w:rsid w:val="009D27C7"/>
    <w:rsid w:val="009E6983"/>
    <w:rsid w:val="00A15FF4"/>
    <w:rsid w:val="00A305E8"/>
    <w:rsid w:val="00A462D4"/>
    <w:rsid w:val="00A4794F"/>
    <w:rsid w:val="00A6331C"/>
    <w:rsid w:val="00A636C9"/>
    <w:rsid w:val="00A641A2"/>
    <w:rsid w:val="00A6737D"/>
    <w:rsid w:val="00A73C42"/>
    <w:rsid w:val="00A74688"/>
    <w:rsid w:val="00A830ED"/>
    <w:rsid w:val="00A87366"/>
    <w:rsid w:val="00AB5DE1"/>
    <w:rsid w:val="00AB6647"/>
    <w:rsid w:val="00B020DD"/>
    <w:rsid w:val="00B051DD"/>
    <w:rsid w:val="00B0576F"/>
    <w:rsid w:val="00B07EAB"/>
    <w:rsid w:val="00B11D35"/>
    <w:rsid w:val="00B24A5B"/>
    <w:rsid w:val="00B34B7D"/>
    <w:rsid w:val="00B40CDA"/>
    <w:rsid w:val="00B449C3"/>
    <w:rsid w:val="00B66666"/>
    <w:rsid w:val="00B72411"/>
    <w:rsid w:val="00B74926"/>
    <w:rsid w:val="00B83ADE"/>
    <w:rsid w:val="00BD63D7"/>
    <w:rsid w:val="00BE2F1A"/>
    <w:rsid w:val="00BF53F7"/>
    <w:rsid w:val="00BF76DA"/>
    <w:rsid w:val="00C059FC"/>
    <w:rsid w:val="00C07923"/>
    <w:rsid w:val="00C15F6E"/>
    <w:rsid w:val="00C27805"/>
    <w:rsid w:val="00C32DEF"/>
    <w:rsid w:val="00C33D28"/>
    <w:rsid w:val="00C454E2"/>
    <w:rsid w:val="00C46600"/>
    <w:rsid w:val="00C577AC"/>
    <w:rsid w:val="00C66678"/>
    <w:rsid w:val="00C775D5"/>
    <w:rsid w:val="00C84805"/>
    <w:rsid w:val="00C8618A"/>
    <w:rsid w:val="00C9448E"/>
    <w:rsid w:val="00C973D3"/>
    <w:rsid w:val="00CA504F"/>
    <w:rsid w:val="00CB3F41"/>
    <w:rsid w:val="00CB6565"/>
    <w:rsid w:val="00CC53E7"/>
    <w:rsid w:val="00CD3D1B"/>
    <w:rsid w:val="00CE2300"/>
    <w:rsid w:val="00CE5475"/>
    <w:rsid w:val="00CE5785"/>
    <w:rsid w:val="00CF643E"/>
    <w:rsid w:val="00D434BB"/>
    <w:rsid w:val="00D454F6"/>
    <w:rsid w:val="00D513B0"/>
    <w:rsid w:val="00D5306C"/>
    <w:rsid w:val="00D64223"/>
    <w:rsid w:val="00D7741D"/>
    <w:rsid w:val="00D901AF"/>
    <w:rsid w:val="00D91ADC"/>
    <w:rsid w:val="00D94B43"/>
    <w:rsid w:val="00DA11BE"/>
    <w:rsid w:val="00DB354B"/>
    <w:rsid w:val="00DB36FB"/>
    <w:rsid w:val="00DC7EBA"/>
    <w:rsid w:val="00DD0110"/>
    <w:rsid w:val="00DD1630"/>
    <w:rsid w:val="00DD2638"/>
    <w:rsid w:val="00DE066C"/>
    <w:rsid w:val="00DE3F46"/>
    <w:rsid w:val="00DF0223"/>
    <w:rsid w:val="00DF36D1"/>
    <w:rsid w:val="00E1759D"/>
    <w:rsid w:val="00E22097"/>
    <w:rsid w:val="00E232A6"/>
    <w:rsid w:val="00E531AA"/>
    <w:rsid w:val="00E7138E"/>
    <w:rsid w:val="00E73B5A"/>
    <w:rsid w:val="00E9278C"/>
    <w:rsid w:val="00EA48A7"/>
    <w:rsid w:val="00EB105E"/>
    <w:rsid w:val="00EC5437"/>
    <w:rsid w:val="00EC6A20"/>
    <w:rsid w:val="00ED582B"/>
    <w:rsid w:val="00ED64FA"/>
    <w:rsid w:val="00ED79EC"/>
    <w:rsid w:val="00EE0F2E"/>
    <w:rsid w:val="00EE14F0"/>
    <w:rsid w:val="00EE3B40"/>
    <w:rsid w:val="00F0236C"/>
    <w:rsid w:val="00F2180C"/>
    <w:rsid w:val="00F54753"/>
    <w:rsid w:val="00F602E4"/>
    <w:rsid w:val="00F77191"/>
    <w:rsid w:val="00F80C98"/>
    <w:rsid w:val="00F851AE"/>
    <w:rsid w:val="00F87B08"/>
    <w:rsid w:val="00F91DA2"/>
    <w:rsid w:val="00FA2FBA"/>
    <w:rsid w:val="00FC520E"/>
    <w:rsid w:val="00FD641F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43FD6020"/>
  <w15:docId w15:val="{56831C01-8006-4167-A7B1-798647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260274"/>
  </w:style>
  <w:style w:type="paragraph" w:styleId="Prosttext">
    <w:name w:val="Plain Text"/>
    <w:basedOn w:val="Normln"/>
    <w:link w:val="ProsttextChar"/>
    <w:uiPriority w:val="99"/>
    <w:unhideWhenUsed/>
    <w:rsid w:val="002602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60274"/>
    <w:rPr>
      <w:rFonts w:ascii="Calibri" w:hAnsi="Calibri"/>
      <w:szCs w:val="21"/>
    </w:rPr>
  </w:style>
  <w:style w:type="character" w:customStyle="1" w:styleId="bumpedfont20">
    <w:name w:val="bumpedfont20"/>
    <w:basedOn w:val="Standardnpsmoodstavce"/>
    <w:rsid w:val="00260274"/>
  </w:style>
  <w:style w:type="character" w:styleId="Nevyeenzmnka">
    <w:name w:val="Unresolved Mention"/>
    <w:basedOn w:val="Standardnpsmoodstavce"/>
    <w:uiPriority w:val="99"/>
    <w:semiHidden/>
    <w:unhideWhenUsed/>
    <w:rsid w:val="00F0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y@central-group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rbora.lindauer@skanska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lak@trigem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Polák Radek</cp:lastModifiedBy>
  <cp:revision>2</cp:revision>
  <cp:lastPrinted>2020-07-21T07:10:00Z</cp:lastPrinted>
  <dcterms:created xsi:type="dcterms:W3CDTF">2020-07-22T13:56:00Z</dcterms:created>
  <dcterms:modified xsi:type="dcterms:W3CDTF">2020-07-22T13:56:00Z</dcterms:modified>
</cp:coreProperties>
</file>