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261841E8" w:rsidR="00FC5DD2" w:rsidRPr="000A54B7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D51B85">
        <w:rPr>
          <w:rFonts w:ascii="Arial" w:hAnsi="Arial" w:cs="Arial"/>
          <w:bCs/>
          <w:sz w:val="16"/>
          <w:szCs w:val="16"/>
        </w:rPr>
        <w:t>9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3963FF">
        <w:rPr>
          <w:rFonts w:ascii="Arial" w:hAnsi="Arial" w:cs="Arial"/>
          <w:bCs/>
          <w:sz w:val="16"/>
          <w:szCs w:val="16"/>
        </w:rPr>
        <w:t>března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2020</w:t>
      </w:r>
    </w:p>
    <w:p w14:paraId="476F2A5C" w14:textId="65A577E5" w:rsidR="00FC5DD2" w:rsidRPr="006A0C07" w:rsidRDefault="00FC5DD2" w:rsidP="00FC5DD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46EF3A" w14:textId="77777777" w:rsidR="003963FF" w:rsidRPr="00D83367" w:rsidRDefault="003963FF" w:rsidP="003963FF">
      <w:pPr>
        <w:spacing w:line="360" w:lineRule="auto"/>
        <w:jc w:val="center"/>
        <w:rPr>
          <w:rFonts w:ascii="Arial" w:hAnsi="Arial" w:cs="Arial"/>
          <w:b/>
          <w:bCs/>
        </w:rPr>
      </w:pPr>
      <w:r w:rsidRPr="00D83367">
        <w:rPr>
          <w:rFonts w:ascii="Arial" w:hAnsi="Arial" w:cs="Arial"/>
          <w:b/>
          <w:bCs/>
        </w:rPr>
        <w:t>V Braníku začíná vyrůstat bytový areál</w:t>
      </w:r>
      <w:r>
        <w:rPr>
          <w:rFonts w:ascii="Arial" w:hAnsi="Arial" w:cs="Arial"/>
          <w:b/>
          <w:bCs/>
        </w:rPr>
        <w:t xml:space="preserve"> s 15 řadovými domy a 140 novými byty</w:t>
      </w:r>
    </w:p>
    <w:p w14:paraId="25546D46" w14:textId="77777777" w:rsidR="003963FF" w:rsidRPr="006A0C07" w:rsidRDefault="003963FF" w:rsidP="003963FF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32F0CACE" w14:textId="20E6AEEE" w:rsidR="003963FF" w:rsidRDefault="003963FF" w:rsidP="003963FF">
      <w:pPr>
        <w:spacing w:line="360" w:lineRule="auto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Developerská společnost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Trigema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postaví v pražském Braníku bytový areál, </w:t>
      </w:r>
      <w:r w:rsidRPr="00D83367">
        <w:rPr>
          <w:rFonts w:ascii="Arial" w:hAnsi="Arial" w:cs="Arial"/>
          <w:b/>
          <w:bCs/>
          <w:sz w:val="17"/>
          <w:szCs w:val="17"/>
        </w:rPr>
        <w:t>kde bude po dokončení stavby 13</w:t>
      </w:r>
      <w:r>
        <w:rPr>
          <w:rFonts w:ascii="Arial" w:hAnsi="Arial" w:cs="Arial"/>
          <w:b/>
          <w:bCs/>
          <w:sz w:val="17"/>
          <w:szCs w:val="17"/>
        </w:rPr>
        <w:t>7</w:t>
      </w:r>
      <w:r w:rsidRPr="00D83367">
        <w:rPr>
          <w:rFonts w:ascii="Arial" w:hAnsi="Arial" w:cs="Arial"/>
          <w:b/>
          <w:bCs/>
          <w:sz w:val="17"/>
          <w:szCs w:val="17"/>
        </w:rPr>
        <w:t xml:space="preserve"> bytů, 15 rodinných řadových domů a několik komerčních jednotek. Stavba projektu, jehož architektem bylo studio </w:t>
      </w:r>
      <w:proofErr w:type="spellStart"/>
      <w:r w:rsidRPr="00D83367">
        <w:rPr>
          <w:rFonts w:ascii="Arial" w:hAnsi="Arial" w:cs="Arial"/>
          <w:b/>
          <w:bCs/>
          <w:sz w:val="17"/>
          <w:szCs w:val="17"/>
        </w:rPr>
        <w:t>Qarta</w:t>
      </w:r>
      <w:proofErr w:type="spellEnd"/>
      <w:r w:rsidRPr="00D83367">
        <w:rPr>
          <w:rFonts w:ascii="Arial" w:hAnsi="Arial" w:cs="Arial"/>
          <w:b/>
          <w:bCs/>
          <w:sz w:val="17"/>
          <w:szCs w:val="17"/>
        </w:rPr>
        <w:t xml:space="preserve"> architektura, </w:t>
      </w:r>
      <w:r>
        <w:rPr>
          <w:rFonts w:ascii="Arial" w:hAnsi="Arial" w:cs="Arial"/>
          <w:b/>
          <w:bCs/>
          <w:sz w:val="17"/>
          <w:szCs w:val="17"/>
        </w:rPr>
        <w:t>v těchto dnech začala. D</w:t>
      </w:r>
      <w:r w:rsidRPr="00D83367">
        <w:rPr>
          <w:rFonts w:ascii="Arial" w:hAnsi="Arial" w:cs="Arial"/>
          <w:b/>
          <w:bCs/>
          <w:sz w:val="17"/>
          <w:szCs w:val="17"/>
        </w:rPr>
        <w:t xml:space="preserve">okončena </w:t>
      </w:r>
      <w:r>
        <w:rPr>
          <w:rFonts w:ascii="Arial" w:hAnsi="Arial" w:cs="Arial"/>
          <w:b/>
          <w:bCs/>
          <w:sz w:val="17"/>
          <w:szCs w:val="17"/>
        </w:rPr>
        <w:t xml:space="preserve">bude </w:t>
      </w:r>
      <w:r w:rsidRPr="00D83367">
        <w:rPr>
          <w:rFonts w:ascii="Arial" w:hAnsi="Arial" w:cs="Arial"/>
          <w:b/>
          <w:bCs/>
          <w:sz w:val="17"/>
          <w:szCs w:val="17"/>
        </w:rPr>
        <w:t>již v příštím roce.</w:t>
      </w:r>
      <w:r>
        <w:rPr>
          <w:rFonts w:ascii="Arial" w:hAnsi="Arial" w:cs="Arial"/>
          <w:b/>
          <w:bCs/>
          <w:sz w:val="17"/>
          <w:szCs w:val="17"/>
        </w:rPr>
        <w:t xml:space="preserve"> Investiční náklady dosahují více než 1,1 miliardy korun. </w:t>
      </w:r>
    </w:p>
    <w:p w14:paraId="4CD1B654" w14:textId="77777777" w:rsidR="003963FF" w:rsidRPr="00D83367" w:rsidRDefault="003963FF" w:rsidP="003963FF">
      <w:pPr>
        <w:spacing w:line="360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715852B7" w14:textId="244C9480" w:rsidR="003963FF" w:rsidRDefault="003963FF" w:rsidP="003963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D83367">
        <w:rPr>
          <w:rFonts w:ascii="Arial" w:hAnsi="Arial" w:cs="Arial"/>
          <w:sz w:val="17"/>
          <w:szCs w:val="17"/>
        </w:rPr>
        <w:t xml:space="preserve">Areál </w:t>
      </w:r>
      <w:r>
        <w:rPr>
          <w:rFonts w:ascii="Arial" w:hAnsi="Arial" w:cs="Arial"/>
          <w:sz w:val="17"/>
          <w:szCs w:val="17"/>
        </w:rPr>
        <w:t xml:space="preserve">s množstvím veřejných i </w:t>
      </w:r>
      <w:r w:rsidRPr="00D83367">
        <w:rPr>
          <w:rFonts w:ascii="Arial" w:hAnsi="Arial" w:cs="Arial"/>
          <w:sz w:val="17"/>
          <w:szCs w:val="17"/>
        </w:rPr>
        <w:t>soukromý</w:t>
      </w:r>
      <w:r>
        <w:rPr>
          <w:rFonts w:ascii="Arial" w:hAnsi="Arial" w:cs="Arial"/>
          <w:sz w:val="17"/>
          <w:szCs w:val="17"/>
        </w:rPr>
        <w:t>ch</w:t>
      </w:r>
      <w:r w:rsidRPr="00D83367">
        <w:rPr>
          <w:rFonts w:ascii="Arial" w:hAnsi="Arial" w:cs="Arial"/>
          <w:sz w:val="17"/>
          <w:szCs w:val="17"/>
        </w:rPr>
        <w:t xml:space="preserve"> zelený</w:t>
      </w:r>
      <w:r>
        <w:rPr>
          <w:rFonts w:ascii="Arial" w:hAnsi="Arial" w:cs="Arial"/>
          <w:sz w:val="17"/>
          <w:szCs w:val="17"/>
        </w:rPr>
        <w:t>ch</w:t>
      </w:r>
      <w:r w:rsidRPr="00D83367">
        <w:rPr>
          <w:rFonts w:ascii="Arial" w:hAnsi="Arial" w:cs="Arial"/>
          <w:sz w:val="17"/>
          <w:szCs w:val="17"/>
        </w:rPr>
        <w:t xml:space="preserve"> ploch nabídne blokovou pětipodlažní zástavbu dvou bytových domů, jež budou přiléhat k Branickému náměstí a ulicím Ke Krči a Nad Strouhou. V jejich přízemí bude 6 komerčních jednotek, kde </w:t>
      </w:r>
      <w:r>
        <w:rPr>
          <w:rFonts w:ascii="Arial" w:hAnsi="Arial" w:cs="Arial"/>
          <w:sz w:val="17"/>
          <w:szCs w:val="17"/>
        </w:rPr>
        <w:t>jsou navrženy</w:t>
      </w:r>
      <w:r w:rsidRPr="00D83367">
        <w:rPr>
          <w:rFonts w:ascii="Arial" w:hAnsi="Arial" w:cs="Arial"/>
          <w:sz w:val="17"/>
          <w:szCs w:val="17"/>
        </w:rPr>
        <w:t xml:space="preserve"> prostory pro obchody a vybrané druhy služeb. Součástí celého </w:t>
      </w:r>
      <w:r>
        <w:rPr>
          <w:rFonts w:ascii="Arial" w:hAnsi="Arial" w:cs="Arial"/>
          <w:sz w:val="17"/>
          <w:szCs w:val="17"/>
        </w:rPr>
        <w:t>komplexu jsou</w:t>
      </w:r>
      <w:r w:rsidRPr="00D83367">
        <w:rPr>
          <w:rFonts w:ascii="Arial" w:hAnsi="Arial" w:cs="Arial"/>
          <w:sz w:val="17"/>
          <w:szCs w:val="17"/>
        </w:rPr>
        <w:t xml:space="preserve"> dále 2 čtyřpodlažní </w:t>
      </w:r>
      <w:proofErr w:type="spellStart"/>
      <w:r w:rsidRPr="00D83367">
        <w:rPr>
          <w:rFonts w:ascii="Arial" w:hAnsi="Arial" w:cs="Arial"/>
          <w:sz w:val="17"/>
          <w:szCs w:val="17"/>
        </w:rPr>
        <w:t>viladomy</w:t>
      </w:r>
      <w:proofErr w:type="spellEnd"/>
      <w:r w:rsidRPr="00D83367">
        <w:rPr>
          <w:rFonts w:ascii="Arial" w:hAnsi="Arial" w:cs="Arial"/>
          <w:sz w:val="17"/>
          <w:szCs w:val="17"/>
        </w:rPr>
        <w:t xml:space="preserve"> a 15 rodinných řadových domů. </w:t>
      </w:r>
    </w:p>
    <w:p w14:paraId="28E9C021" w14:textId="77777777" w:rsidR="003963FF" w:rsidRPr="003963FF" w:rsidRDefault="003963FF" w:rsidP="003963F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8AF9588" w14:textId="2A7C6C5C" w:rsidR="003963FF" w:rsidRDefault="003963FF" w:rsidP="003963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D83367">
        <w:rPr>
          <w:rFonts w:ascii="Arial" w:hAnsi="Arial" w:cs="Arial"/>
          <w:sz w:val="17"/>
          <w:szCs w:val="17"/>
        </w:rPr>
        <w:t xml:space="preserve">Celé území bude protínat centrální pěší korzo se stromořadím, lavičkami a průhledem na Branický pivovar. Jak provozovny obchodů a služeb, tak pěší korzo, hřiště a zelené plochy </w:t>
      </w:r>
      <w:r>
        <w:rPr>
          <w:rFonts w:ascii="Arial" w:hAnsi="Arial" w:cs="Arial"/>
          <w:sz w:val="17"/>
          <w:szCs w:val="17"/>
        </w:rPr>
        <w:t>js</w:t>
      </w:r>
      <w:r w:rsidRPr="00D83367">
        <w:rPr>
          <w:rFonts w:ascii="Arial" w:hAnsi="Arial" w:cs="Arial"/>
          <w:sz w:val="17"/>
          <w:szCs w:val="17"/>
        </w:rPr>
        <w:t>ou určeny nejen místním rezidentům, ale také širší veřejnosti. Oddychové veřejné zóny budou přiléhat ke Kunratickému potoku, jenž pozemek projektu z jihozápadní strany ohraničuje.</w:t>
      </w:r>
    </w:p>
    <w:p w14:paraId="0255CC02" w14:textId="77777777" w:rsidR="003963FF" w:rsidRPr="003963FF" w:rsidRDefault="003963FF" w:rsidP="003963F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3E441C1" w14:textId="30802040" w:rsidR="003963FF" w:rsidRDefault="003963FF" w:rsidP="003963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D83367">
        <w:rPr>
          <w:rFonts w:ascii="Arial" w:hAnsi="Arial" w:cs="Arial"/>
          <w:sz w:val="17"/>
          <w:szCs w:val="17"/>
        </w:rPr>
        <w:t>„</w:t>
      </w:r>
      <w:r w:rsidRPr="00D83367">
        <w:rPr>
          <w:rFonts w:ascii="Arial" w:hAnsi="Arial" w:cs="Arial"/>
          <w:i/>
          <w:iCs/>
          <w:sz w:val="17"/>
          <w:szCs w:val="17"/>
        </w:rPr>
        <w:t xml:space="preserve">Braník je jednou z </w:t>
      </w:r>
      <w:r>
        <w:rPr>
          <w:rFonts w:ascii="Arial" w:hAnsi="Arial" w:cs="Arial"/>
          <w:i/>
          <w:iCs/>
          <w:sz w:val="17"/>
          <w:szCs w:val="17"/>
        </w:rPr>
        <w:t>tradičních</w:t>
      </w:r>
      <w:r w:rsidRPr="00D83367">
        <w:rPr>
          <w:rFonts w:ascii="Arial" w:hAnsi="Arial" w:cs="Arial"/>
          <w:i/>
          <w:iCs/>
          <w:sz w:val="17"/>
          <w:szCs w:val="17"/>
        </w:rPr>
        <w:t xml:space="preserve"> pražských čtvrtí s bohatou historií, odkud je navíc blízko do centra města. Nabídka </w:t>
      </w:r>
      <w:r>
        <w:rPr>
          <w:rFonts w:ascii="Arial" w:hAnsi="Arial" w:cs="Arial"/>
          <w:i/>
          <w:iCs/>
          <w:sz w:val="17"/>
          <w:szCs w:val="17"/>
        </w:rPr>
        <w:t>okolního vyžití</w:t>
      </w:r>
      <w:r w:rsidRPr="00D83367">
        <w:rPr>
          <w:rFonts w:ascii="Arial" w:hAnsi="Arial" w:cs="Arial"/>
          <w:i/>
          <w:iCs/>
          <w:sz w:val="17"/>
          <w:szCs w:val="17"/>
        </w:rPr>
        <w:t xml:space="preserve"> i samotná skladba bytů našeho projektu vychází vstříc </w:t>
      </w:r>
      <w:r>
        <w:rPr>
          <w:rFonts w:ascii="Arial" w:hAnsi="Arial" w:cs="Arial"/>
          <w:i/>
          <w:iCs/>
          <w:sz w:val="17"/>
          <w:szCs w:val="17"/>
        </w:rPr>
        <w:t xml:space="preserve">aktivním </w:t>
      </w:r>
      <w:r w:rsidRPr="00D83367">
        <w:rPr>
          <w:rFonts w:ascii="Arial" w:hAnsi="Arial" w:cs="Arial"/>
          <w:i/>
          <w:iCs/>
          <w:sz w:val="17"/>
          <w:szCs w:val="17"/>
        </w:rPr>
        <w:t>rodinám s dětmi. Nebudou zde ale chybět ani menší bytové jednotky</w:t>
      </w:r>
      <w:r w:rsidRPr="00D83367">
        <w:rPr>
          <w:rFonts w:ascii="Arial" w:hAnsi="Arial" w:cs="Arial"/>
          <w:sz w:val="17"/>
          <w:szCs w:val="17"/>
        </w:rPr>
        <w:t xml:space="preserve">,“ komentuje developerský záměr Marcel Soural, předseda představenstva společnosti </w:t>
      </w:r>
      <w:proofErr w:type="spellStart"/>
      <w:r w:rsidRPr="00D83367">
        <w:rPr>
          <w:rFonts w:ascii="Arial" w:hAnsi="Arial" w:cs="Arial"/>
          <w:sz w:val="17"/>
          <w:szCs w:val="17"/>
        </w:rPr>
        <w:t>Trigema</w:t>
      </w:r>
      <w:proofErr w:type="spellEnd"/>
      <w:r w:rsidRPr="00D83367">
        <w:rPr>
          <w:rFonts w:ascii="Arial" w:hAnsi="Arial" w:cs="Arial"/>
          <w:sz w:val="17"/>
          <w:szCs w:val="17"/>
        </w:rPr>
        <w:t xml:space="preserve">.   </w:t>
      </w:r>
    </w:p>
    <w:p w14:paraId="3E620195" w14:textId="77777777" w:rsidR="003963FF" w:rsidRPr="003963FF" w:rsidRDefault="003963FF" w:rsidP="003963F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0FD844E8" w14:textId="50E382CD" w:rsidR="003963FF" w:rsidRDefault="003963FF" w:rsidP="003963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D83367">
        <w:rPr>
          <w:rFonts w:ascii="Arial" w:hAnsi="Arial" w:cs="Arial"/>
          <w:sz w:val="17"/>
          <w:szCs w:val="17"/>
        </w:rPr>
        <w:t xml:space="preserve">V bytových domech a </w:t>
      </w:r>
      <w:proofErr w:type="spellStart"/>
      <w:r w:rsidRPr="00D83367">
        <w:rPr>
          <w:rFonts w:ascii="Arial" w:hAnsi="Arial" w:cs="Arial"/>
          <w:sz w:val="17"/>
          <w:szCs w:val="17"/>
        </w:rPr>
        <w:t>viladomech</w:t>
      </w:r>
      <w:proofErr w:type="spellEnd"/>
      <w:r w:rsidRPr="00D83367">
        <w:rPr>
          <w:rFonts w:ascii="Arial" w:hAnsi="Arial" w:cs="Arial"/>
          <w:sz w:val="17"/>
          <w:szCs w:val="17"/>
        </w:rPr>
        <w:t xml:space="preserve">, jejichž provětrávaná fasáda vychází z kontrastu světlé a tmavé barvy, budou byty ve velikosti od 1+kk do </w:t>
      </w:r>
      <w:r>
        <w:rPr>
          <w:rFonts w:ascii="Arial" w:hAnsi="Arial" w:cs="Arial"/>
          <w:sz w:val="17"/>
          <w:szCs w:val="17"/>
        </w:rPr>
        <w:t>4</w:t>
      </w:r>
      <w:r w:rsidRPr="00D83367">
        <w:rPr>
          <w:rFonts w:ascii="Arial" w:hAnsi="Arial" w:cs="Arial"/>
          <w:sz w:val="17"/>
          <w:szCs w:val="17"/>
        </w:rPr>
        <w:t xml:space="preserve">+kk. Nejvíce z nich bude tří a dvoupokojových. Nejmenší byt bude mít plochu zhruba 31 </w:t>
      </w:r>
      <w:proofErr w:type="gramStart"/>
      <w:r w:rsidRPr="00D83367">
        <w:rPr>
          <w:rFonts w:ascii="Arial" w:hAnsi="Arial" w:cs="Arial"/>
          <w:sz w:val="17"/>
          <w:szCs w:val="17"/>
        </w:rPr>
        <w:t>m</w:t>
      </w:r>
      <w:r w:rsidRPr="006D030F">
        <w:rPr>
          <w:rFonts w:ascii="Arial" w:hAnsi="Arial" w:cs="Arial"/>
          <w:sz w:val="17"/>
          <w:szCs w:val="17"/>
          <w:vertAlign w:val="superscript"/>
        </w:rPr>
        <w:t>2</w:t>
      </w:r>
      <w:proofErr w:type="gramEnd"/>
      <w:r w:rsidRPr="00D83367">
        <w:rPr>
          <w:rFonts w:ascii="Arial" w:hAnsi="Arial" w:cs="Arial"/>
          <w:sz w:val="17"/>
          <w:szCs w:val="17"/>
        </w:rPr>
        <w:t xml:space="preserve"> a naopak ten největší </w:t>
      </w:r>
      <w:r>
        <w:rPr>
          <w:rFonts w:ascii="Arial" w:hAnsi="Arial" w:cs="Arial"/>
          <w:sz w:val="17"/>
          <w:szCs w:val="17"/>
        </w:rPr>
        <w:t>necelých 120</w:t>
      </w:r>
      <w:r w:rsidRPr="00D83367">
        <w:rPr>
          <w:rFonts w:ascii="Arial" w:hAnsi="Arial" w:cs="Arial"/>
          <w:sz w:val="17"/>
          <w:szCs w:val="17"/>
        </w:rPr>
        <w:t xml:space="preserve"> m</w:t>
      </w:r>
      <w:r w:rsidRPr="006D030F">
        <w:rPr>
          <w:rFonts w:ascii="Arial" w:hAnsi="Arial" w:cs="Arial"/>
          <w:sz w:val="17"/>
          <w:szCs w:val="17"/>
          <w:vertAlign w:val="superscript"/>
        </w:rPr>
        <w:t>2</w:t>
      </w:r>
      <w:r w:rsidRPr="00D83367">
        <w:rPr>
          <w:rFonts w:ascii="Arial" w:hAnsi="Arial" w:cs="Arial"/>
          <w:sz w:val="17"/>
          <w:szCs w:val="17"/>
        </w:rPr>
        <w:t xml:space="preserve">. </w:t>
      </w:r>
    </w:p>
    <w:p w14:paraId="431DCBDD" w14:textId="77777777" w:rsidR="003963FF" w:rsidRPr="003963FF" w:rsidRDefault="003963FF" w:rsidP="003963F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61385EEF" w14:textId="6922AB82" w:rsidR="003963FF" w:rsidRDefault="003963FF" w:rsidP="003963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Jednotlivé b</w:t>
      </w:r>
      <w:r w:rsidRPr="00D83367">
        <w:rPr>
          <w:rFonts w:ascii="Arial" w:hAnsi="Arial" w:cs="Arial"/>
          <w:sz w:val="17"/>
          <w:szCs w:val="17"/>
        </w:rPr>
        <w:t xml:space="preserve">yty nabídnou mimo jiné i podlahové vytápění či koupelnové vybavení značky </w:t>
      </w:r>
      <w:proofErr w:type="spellStart"/>
      <w:r w:rsidRPr="00D83367">
        <w:rPr>
          <w:rFonts w:ascii="Arial" w:hAnsi="Arial" w:cs="Arial"/>
          <w:sz w:val="17"/>
          <w:szCs w:val="17"/>
        </w:rPr>
        <w:t>Laufen</w:t>
      </w:r>
      <w:proofErr w:type="spellEnd"/>
      <w:r w:rsidRPr="00D83367"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 xml:space="preserve"> Vzhledem k již zaběhlému standardu konceptu Chytrého bydlení </w:t>
      </w:r>
      <w:r w:rsidRPr="00D83367">
        <w:rPr>
          <w:rFonts w:ascii="Arial" w:hAnsi="Arial" w:cs="Arial"/>
          <w:sz w:val="17"/>
          <w:szCs w:val="17"/>
        </w:rPr>
        <w:t xml:space="preserve">se také </w:t>
      </w:r>
      <w:r>
        <w:rPr>
          <w:rFonts w:ascii="Arial" w:hAnsi="Arial" w:cs="Arial"/>
          <w:sz w:val="17"/>
          <w:szCs w:val="17"/>
        </w:rPr>
        <w:t xml:space="preserve">počítá </w:t>
      </w:r>
      <w:r w:rsidRPr="00D83367">
        <w:rPr>
          <w:rFonts w:ascii="Arial" w:hAnsi="Arial" w:cs="Arial"/>
          <w:sz w:val="17"/>
          <w:szCs w:val="17"/>
        </w:rPr>
        <w:t xml:space="preserve">s rekuperačními jednotkami, přípravou pro inteligentní ovládání bytu a </w:t>
      </w:r>
      <w:r>
        <w:rPr>
          <w:rFonts w:ascii="Arial" w:hAnsi="Arial" w:cs="Arial"/>
          <w:sz w:val="17"/>
          <w:szCs w:val="17"/>
        </w:rPr>
        <w:t xml:space="preserve">velkými </w:t>
      </w:r>
      <w:r w:rsidRPr="00D83367">
        <w:rPr>
          <w:rFonts w:ascii="Arial" w:hAnsi="Arial" w:cs="Arial"/>
          <w:sz w:val="17"/>
          <w:szCs w:val="17"/>
        </w:rPr>
        <w:t>okny s</w:t>
      </w:r>
      <w:r>
        <w:rPr>
          <w:rFonts w:ascii="Arial" w:hAnsi="Arial" w:cs="Arial"/>
          <w:sz w:val="17"/>
          <w:szCs w:val="17"/>
        </w:rPr>
        <w:t> </w:t>
      </w:r>
      <w:r w:rsidRPr="00D83367">
        <w:rPr>
          <w:rFonts w:ascii="Arial" w:hAnsi="Arial" w:cs="Arial"/>
          <w:sz w:val="17"/>
          <w:szCs w:val="17"/>
        </w:rPr>
        <w:t>trojskly</w:t>
      </w:r>
      <w:r>
        <w:rPr>
          <w:rFonts w:ascii="Arial" w:hAnsi="Arial" w:cs="Arial"/>
          <w:sz w:val="17"/>
          <w:szCs w:val="17"/>
        </w:rPr>
        <w:t xml:space="preserve">. </w:t>
      </w:r>
      <w:r w:rsidRPr="00D83367">
        <w:rPr>
          <w:rFonts w:ascii="Arial" w:hAnsi="Arial" w:cs="Arial"/>
          <w:sz w:val="17"/>
          <w:szCs w:val="17"/>
        </w:rPr>
        <w:t>Projekt je proto také zařazen do kategorie Chytré bydlení Plus.</w:t>
      </w:r>
      <w:r>
        <w:rPr>
          <w:rFonts w:ascii="Arial" w:hAnsi="Arial" w:cs="Arial"/>
          <w:sz w:val="17"/>
          <w:szCs w:val="17"/>
        </w:rPr>
        <w:t xml:space="preserve"> </w:t>
      </w:r>
      <w:r w:rsidRPr="00D83367">
        <w:rPr>
          <w:rFonts w:ascii="Arial" w:hAnsi="Arial" w:cs="Arial"/>
          <w:sz w:val="17"/>
          <w:szCs w:val="17"/>
        </w:rPr>
        <w:t>Ceny bytů budou začínat na necelých 4 milionech korun.</w:t>
      </w:r>
    </w:p>
    <w:p w14:paraId="721A8C57" w14:textId="77777777" w:rsidR="003963FF" w:rsidRPr="003963FF" w:rsidRDefault="003963FF" w:rsidP="003963F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EF91EE8" w14:textId="7F86D7F1" w:rsidR="003963FF" w:rsidRDefault="003963FF" w:rsidP="003963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D83367">
        <w:rPr>
          <w:rFonts w:ascii="Arial" w:hAnsi="Arial" w:cs="Arial"/>
          <w:sz w:val="17"/>
          <w:szCs w:val="17"/>
        </w:rPr>
        <w:t>Rodinné</w:t>
      </w:r>
      <w:r>
        <w:rPr>
          <w:rFonts w:ascii="Arial" w:hAnsi="Arial" w:cs="Arial"/>
          <w:sz w:val="17"/>
          <w:szCs w:val="17"/>
        </w:rPr>
        <w:t xml:space="preserve"> řadové</w:t>
      </w:r>
      <w:r w:rsidRPr="00D83367">
        <w:rPr>
          <w:rFonts w:ascii="Arial" w:hAnsi="Arial" w:cs="Arial"/>
          <w:sz w:val="17"/>
          <w:szCs w:val="17"/>
        </w:rPr>
        <w:t xml:space="preserve"> domy s celkovou plochou okolo </w:t>
      </w:r>
      <w:r>
        <w:rPr>
          <w:rFonts w:ascii="Arial" w:hAnsi="Arial" w:cs="Arial"/>
          <w:sz w:val="17"/>
          <w:szCs w:val="17"/>
        </w:rPr>
        <w:t xml:space="preserve">250 </w:t>
      </w:r>
      <w:r w:rsidRPr="00D83367">
        <w:rPr>
          <w:rFonts w:ascii="Arial" w:hAnsi="Arial" w:cs="Arial"/>
          <w:sz w:val="17"/>
          <w:szCs w:val="17"/>
        </w:rPr>
        <w:t>m</w:t>
      </w:r>
      <w:r w:rsidRPr="006D030F">
        <w:rPr>
          <w:rFonts w:ascii="Arial" w:hAnsi="Arial" w:cs="Arial"/>
          <w:sz w:val="17"/>
          <w:szCs w:val="17"/>
          <w:vertAlign w:val="superscript"/>
        </w:rPr>
        <w:t>2</w:t>
      </w:r>
      <w:r>
        <w:rPr>
          <w:rFonts w:ascii="Arial" w:hAnsi="Arial" w:cs="Arial"/>
          <w:sz w:val="17"/>
          <w:szCs w:val="17"/>
        </w:rPr>
        <w:t xml:space="preserve"> se budou vyznačovat zejména rozlehlými zahradami </w:t>
      </w:r>
      <w:r w:rsidRPr="00D83367">
        <w:rPr>
          <w:rFonts w:ascii="Arial" w:hAnsi="Arial" w:cs="Arial"/>
          <w:sz w:val="17"/>
          <w:szCs w:val="17"/>
        </w:rPr>
        <w:t xml:space="preserve">ve velikosti od </w:t>
      </w:r>
      <w:r>
        <w:rPr>
          <w:rFonts w:ascii="Arial" w:hAnsi="Arial" w:cs="Arial"/>
          <w:sz w:val="17"/>
          <w:szCs w:val="17"/>
        </w:rPr>
        <w:t>200</w:t>
      </w:r>
      <w:r w:rsidRPr="00D83367">
        <w:rPr>
          <w:rFonts w:ascii="Arial" w:hAnsi="Arial" w:cs="Arial"/>
          <w:sz w:val="17"/>
          <w:szCs w:val="17"/>
        </w:rPr>
        <w:t xml:space="preserve"> do </w:t>
      </w:r>
      <w:r>
        <w:rPr>
          <w:rFonts w:ascii="Arial" w:hAnsi="Arial" w:cs="Arial"/>
          <w:sz w:val="17"/>
          <w:szCs w:val="17"/>
        </w:rPr>
        <w:t xml:space="preserve">1 100 </w:t>
      </w:r>
      <w:r w:rsidRPr="00D83367">
        <w:rPr>
          <w:rFonts w:ascii="Arial" w:hAnsi="Arial" w:cs="Arial"/>
          <w:sz w:val="17"/>
          <w:szCs w:val="17"/>
        </w:rPr>
        <w:t>m</w:t>
      </w:r>
      <w:r w:rsidRPr="006D030F">
        <w:rPr>
          <w:rFonts w:ascii="Arial" w:hAnsi="Arial" w:cs="Arial"/>
          <w:sz w:val="17"/>
          <w:szCs w:val="17"/>
          <w:vertAlign w:val="superscript"/>
        </w:rPr>
        <w:t>2</w:t>
      </w:r>
      <w:r>
        <w:rPr>
          <w:rFonts w:ascii="Arial" w:hAnsi="Arial" w:cs="Arial"/>
          <w:sz w:val="17"/>
          <w:szCs w:val="17"/>
        </w:rPr>
        <w:t>. Svými parametry zaujmou především náročnější klientelu.</w:t>
      </w:r>
    </w:p>
    <w:p w14:paraId="73173FF2" w14:textId="77777777" w:rsidR="003963FF" w:rsidRPr="003963FF" w:rsidRDefault="003963FF" w:rsidP="003963F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9ECBDD0" w14:textId="24A82B35" w:rsidR="003963FF" w:rsidRDefault="003963FF" w:rsidP="003963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D83367">
        <w:rPr>
          <w:rFonts w:ascii="Arial" w:hAnsi="Arial" w:cs="Arial"/>
          <w:sz w:val="17"/>
          <w:szCs w:val="17"/>
        </w:rPr>
        <w:t xml:space="preserve">V podzemních garážích bytových domů bude více než 160 parkovacích stání. Na povrchu jich bude </w:t>
      </w:r>
      <w:r w:rsidR="00481A63">
        <w:rPr>
          <w:rFonts w:ascii="Arial" w:hAnsi="Arial" w:cs="Arial"/>
          <w:sz w:val="17"/>
          <w:szCs w:val="17"/>
        </w:rPr>
        <w:t>okolo</w:t>
      </w:r>
      <w:r w:rsidRPr="00D83367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24</w:t>
      </w:r>
      <w:r w:rsidRPr="00D83367">
        <w:rPr>
          <w:rFonts w:ascii="Arial" w:hAnsi="Arial" w:cs="Arial"/>
          <w:sz w:val="17"/>
          <w:szCs w:val="17"/>
        </w:rPr>
        <w:t xml:space="preserve">. </w:t>
      </w:r>
      <w:r>
        <w:rPr>
          <w:rFonts w:ascii="Arial" w:hAnsi="Arial" w:cs="Arial"/>
          <w:sz w:val="17"/>
          <w:szCs w:val="17"/>
        </w:rPr>
        <w:t>Součástí každého rodinného domu je vnitřní garáž pro jeden či dva automobily. Další stání je na povrchu na vlastním pozemku.</w:t>
      </w:r>
    </w:p>
    <w:p w14:paraId="1EB9EAE6" w14:textId="77777777" w:rsidR="006A0C07" w:rsidRPr="006A0C07" w:rsidRDefault="006A0C07" w:rsidP="003963F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782FC551" w14:textId="77777777" w:rsidR="006A0C07" w:rsidRDefault="003963FF" w:rsidP="003963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D83367">
        <w:rPr>
          <w:rFonts w:ascii="Arial" w:hAnsi="Arial" w:cs="Arial"/>
          <w:sz w:val="17"/>
          <w:szCs w:val="17"/>
        </w:rPr>
        <w:t xml:space="preserve">Dokončení hrubé stavby projektu, kterou realizuje </w:t>
      </w:r>
      <w:r>
        <w:rPr>
          <w:rFonts w:ascii="Arial" w:hAnsi="Arial" w:cs="Arial"/>
          <w:sz w:val="17"/>
          <w:szCs w:val="17"/>
        </w:rPr>
        <w:t>stavební dcera skupiny</w:t>
      </w:r>
      <w:r w:rsidRPr="00D83367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83367">
        <w:rPr>
          <w:rFonts w:ascii="Arial" w:hAnsi="Arial" w:cs="Arial"/>
          <w:sz w:val="17"/>
          <w:szCs w:val="17"/>
        </w:rPr>
        <w:t>Trigema</w:t>
      </w:r>
      <w:proofErr w:type="spellEnd"/>
      <w:r w:rsidRPr="00D83367">
        <w:rPr>
          <w:rFonts w:ascii="Arial" w:hAnsi="Arial" w:cs="Arial"/>
          <w:sz w:val="17"/>
          <w:szCs w:val="17"/>
        </w:rPr>
        <w:t xml:space="preserve">, se předpokládá v únoru příštího roku. </w:t>
      </w:r>
    </w:p>
    <w:p w14:paraId="6727C182" w14:textId="1C229A92" w:rsidR="003963FF" w:rsidRDefault="003963FF" w:rsidP="003963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D83367">
        <w:rPr>
          <w:rFonts w:ascii="Arial" w:hAnsi="Arial" w:cs="Arial"/>
          <w:sz w:val="17"/>
          <w:szCs w:val="17"/>
        </w:rPr>
        <w:t>Kolaudace by měla proběhnout na konci léta. K nastěhování budou byty a rodinné domy do konce příštího roku. Další informace o projektu a možnostech nového bydlení lze nalézt na internetové adrese</w:t>
      </w:r>
      <w:r>
        <w:rPr>
          <w:rFonts w:ascii="Arial" w:hAnsi="Arial" w:cs="Arial"/>
          <w:sz w:val="17"/>
          <w:szCs w:val="17"/>
        </w:rPr>
        <w:t xml:space="preserve"> </w:t>
      </w:r>
      <w:bookmarkStart w:id="0" w:name="_GoBack"/>
      <w:r w:rsidR="00D51B85">
        <w:fldChar w:fldCharType="begin"/>
      </w:r>
      <w:r w:rsidR="00D51B85">
        <w:instrText xml:space="preserve"> HYPERLINK "http://www.bydleni-branik.cz" </w:instrText>
      </w:r>
      <w:r w:rsidR="00D51B85">
        <w:fldChar w:fldCharType="separate"/>
      </w:r>
      <w:r w:rsidRPr="00D733DB">
        <w:rPr>
          <w:rStyle w:val="Hypertextovodkaz"/>
          <w:rFonts w:ascii="Arial" w:hAnsi="Arial" w:cs="Arial"/>
          <w:sz w:val="17"/>
          <w:szCs w:val="17"/>
        </w:rPr>
        <w:t>www.bydleni-branik.cz</w:t>
      </w:r>
      <w:r w:rsidR="00D51B85">
        <w:rPr>
          <w:rStyle w:val="Hypertextovodkaz"/>
          <w:rFonts w:ascii="Arial" w:hAnsi="Arial" w:cs="Arial"/>
          <w:sz w:val="17"/>
          <w:szCs w:val="17"/>
        </w:rPr>
        <w:fldChar w:fldCharType="end"/>
      </w:r>
      <w:bookmarkEnd w:id="0"/>
      <w:r w:rsidRPr="00D83367"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14:paraId="0BED79E0" w14:textId="77777777" w:rsidR="006A0C07" w:rsidRDefault="006A0C07" w:rsidP="003963F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6F7E6728" w14:textId="02F4FF29" w:rsidR="006A0C07" w:rsidRDefault="006A0C07" w:rsidP="003963FF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Zdroj vizualizací: </w:t>
      </w:r>
      <w:proofErr w:type="spellStart"/>
      <w:r>
        <w:rPr>
          <w:rFonts w:ascii="Arial" w:hAnsi="Arial" w:cs="Arial"/>
          <w:sz w:val="12"/>
          <w:szCs w:val="12"/>
        </w:rPr>
        <w:t>Trigema</w:t>
      </w:r>
      <w:proofErr w:type="spellEnd"/>
    </w:p>
    <w:sectPr w:rsidR="006A0C07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4F884" w14:textId="77777777" w:rsidR="0035011E" w:rsidRDefault="0035011E">
      <w:r>
        <w:separator/>
      </w:r>
    </w:p>
  </w:endnote>
  <w:endnote w:type="continuationSeparator" w:id="0">
    <w:p w14:paraId="7E6E7067" w14:textId="77777777" w:rsidR="0035011E" w:rsidRDefault="0035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D51B85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gram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Do</w:t>
    </w:r>
    <w:proofErr w:type="gram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Explora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6FD1" w14:textId="77777777" w:rsidR="0035011E" w:rsidRDefault="0035011E">
      <w:r>
        <w:separator/>
      </w:r>
    </w:p>
  </w:footnote>
  <w:footnote w:type="continuationSeparator" w:id="0">
    <w:p w14:paraId="12E30B93" w14:textId="77777777" w:rsidR="0035011E" w:rsidRDefault="0035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D0AFA"/>
    <w:rsid w:val="000E3AAD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273AF"/>
    <w:rsid w:val="00334DF6"/>
    <w:rsid w:val="0035011E"/>
    <w:rsid w:val="003518CB"/>
    <w:rsid w:val="003700F1"/>
    <w:rsid w:val="003804B5"/>
    <w:rsid w:val="00381C34"/>
    <w:rsid w:val="00394543"/>
    <w:rsid w:val="003963FF"/>
    <w:rsid w:val="003E7A92"/>
    <w:rsid w:val="0041024D"/>
    <w:rsid w:val="0043042C"/>
    <w:rsid w:val="00431447"/>
    <w:rsid w:val="004344E1"/>
    <w:rsid w:val="0045300B"/>
    <w:rsid w:val="0046287A"/>
    <w:rsid w:val="00481A63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458B8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0C07"/>
    <w:rsid w:val="006A4E5B"/>
    <w:rsid w:val="006B20B5"/>
    <w:rsid w:val="006C0441"/>
    <w:rsid w:val="006F3590"/>
    <w:rsid w:val="00702E41"/>
    <w:rsid w:val="00705418"/>
    <w:rsid w:val="0071465C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E7B1D"/>
    <w:rsid w:val="009F578E"/>
    <w:rsid w:val="00A00E58"/>
    <w:rsid w:val="00A049F5"/>
    <w:rsid w:val="00A06C9C"/>
    <w:rsid w:val="00A11619"/>
    <w:rsid w:val="00A12979"/>
    <w:rsid w:val="00A2618A"/>
    <w:rsid w:val="00A65A33"/>
    <w:rsid w:val="00A80072"/>
    <w:rsid w:val="00A82FC5"/>
    <w:rsid w:val="00A8562C"/>
    <w:rsid w:val="00A90AFA"/>
    <w:rsid w:val="00A91B08"/>
    <w:rsid w:val="00A92B94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51B85"/>
    <w:rsid w:val="00D83367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ACCE-C7CB-41FC-B75F-FB5683D9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4</cp:revision>
  <cp:lastPrinted>2020-02-19T11:15:00Z</cp:lastPrinted>
  <dcterms:created xsi:type="dcterms:W3CDTF">2020-02-26T16:17:00Z</dcterms:created>
  <dcterms:modified xsi:type="dcterms:W3CDTF">2020-03-09T12:14:00Z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