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2E" w:rsidRPr="00F54753" w:rsidRDefault="0092542E">
      <w:pPr>
        <w:rPr>
          <w:sz w:val="16"/>
          <w:szCs w:val="16"/>
        </w:rPr>
      </w:pPr>
    </w:p>
    <w:p w:rsidR="004728A0" w:rsidRPr="00AD45C4" w:rsidRDefault="004728A0" w:rsidP="004728A0">
      <w:pPr>
        <w:jc w:val="center"/>
        <w:rPr>
          <w:rFonts w:ascii="Arial Black" w:hAnsi="Arial Black"/>
          <w:b/>
          <w:color w:val="0D0D0D" w:themeColor="text1" w:themeTint="F2"/>
          <w:sz w:val="28"/>
          <w:szCs w:val="28"/>
        </w:rPr>
      </w:pPr>
      <w:r w:rsidRPr="00AD45C4">
        <w:rPr>
          <w:rFonts w:ascii="Arial Black" w:hAnsi="Arial Black"/>
          <w:b/>
          <w:color w:val="0D0D0D" w:themeColor="text1" w:themeTint="F2"/>
          <w:sz w:val="28"/>
          <w:szCs w:val="28"/>
        </w:rPr>
        <w:t>Růst cen nových bytů zpomaluje</w:t>
      </w:r>
    </w:p>
    <w:p w:rsidR="004728A0" w:rsidRPr="00F54753" w:rsidRDefault="004728A0" w:rsidP="004728A0">
      <w:pPr>
        <w:rPr>
          <w:sz w:val="16"/>
          <w:szCs w:val="16"/>
        </w:rPr>
      </w:pPr>
    </w:p>
    <w:p w:rsidR="00A462D4" w:rsidRPr="00F54753" w:rsidRDefault="00137158" w:rsidP="004728A0">
      <w:pPr>
        <w:spacing w:line="360" w:lineRule="auto"/>
        <w:jc w:val="both"/>
        <w:rPr>
          <w:rFonts w:ascii="Arial" w:hAnsi="Arial" w:cs="Arial"/>
          <w:b/>
          <w:sz w:val="20"/>
          <w:szCs w:val="20"/>
        </w:rPr>
      </w:pPr>
      <w:r>
        <w:rPr>
          <w:rFonts w:ascii="Arial" w:hAnsi="Arial" w:cs="Arial"/>
          <w:b/>
          <w:sz w:val="20"/>
          <w:szCs w:val="20"/>
        </w:rPr>
        <w:t xml:space="preserve">(Praha – 25. dubna 2019) </w:t>
      </w:r>
      <w:r w:rsidR="004728A0" w:rsidRPr="00F54753">
        <w:rPr>
          <w:rFonts w:ascii="Arial" w:hAnsi="Arial" w:cs="Arial"/>
          <w:b/>
          <w:sz w:val="20"/>
          <w:szCs w:val="20"/>
        </w:rPr>
        <w:t xml:space="preserve">Trh s novými byty v Praze se podle dat společností </w:t>
      </w:r>
      <w:proofErr w:type="spellStart"/>
      <w:r w:rsidR="004728A0" w:rsidRPr="00F54753">
        <w:rPr>
          <w:rFonts w:ascii="Arial" w:hAnsi="Arial" w:cs="Arial"/>
          <w:b/>
          <w:sz w:val="20"/>
          <w:szCs w:val="20"/>
        </w:rPr>
        <w:t>Trigema</w:t>
      </w:r>
      <w:proofErr w:type="spellEnd"/>
      <w:r w:rsidR="004728A0" w:rsidRPr="00F54753">
        <w:rPr>
          <w:rFonts w:ascii="Arial" w:hAnsi="Arial" w:cs="Arial"/>
          <w:b/>
          <w:sz w:val="20"/>
          <w:szCs w:val="20"/>
        </w:rPr>
        <w:t xml:space="preserve">, Skanska Reality a </w:t>
      </w:r>
      <w:proofErr w:type="spellStart"/>
      <w:r w:rsidR="004728A0" w:rsidRPr="00F54753">
        <w:rPr>
          <w:rFonts w:ascii="Arial" w:hAnsi="Arial" w:cs="Arial"/>
          <w:b/>
          <w:sz w:val="20"/>
          <w:szCs w:val="20"/>
        </w:rPr>
        <w:t>Central</w:t>
      </w:r>
      <w:proofErr w:type="spellEnd"/>
      <w:r w:rsidR="004728A0" w:rsidRPr="00F54753">
        <w:rPr>
          <w:rFonts w:ascii="Arial" w:hAnsi="Arial" w:cs="Arial"/>
          <w:b/>
          <w:sz w:val="20"/>
          <w:szCs w:val="20"/>
        </w:rPr>
        <w:t xml:space="preserve"> Group za první čtvrtletí letošního roku stabilizoval. Zatímco cena prodaných bytů </w:t>
      </w:r>
      <w:proofErr w:type="spellStart"/>
      <w:r w:rsidR="004728A0" w:rsidRPr="00F54753">
        <w:rPr>
          <w:rFonts w:ascii="Arial" w:hAnsi="Arial" w:cs="Arial"/>
          <w:b/>
          <w:sz w:val="20"/>
          <w:szCs w:val="20"/>
        </w:rPr>
        <w:t>mezikvartálně</w:t>
      </w:r>
      <w:proofErr w:type="spellEnd"/>
      <w:r w:rsidR="004728A0" w:rsidRPr="00F54753">
        <w:rPr>
          <w:rFonts w:ascii="Arial" w:hAnsi="Arial" w:cs="Arial"/>
          <w:b/>
          <w:sz w:val="20"/>
          <w:szCs w:val="20"/>
        </w:rPr>
        <w:t xml:space="preserve"> vzrostla o 3,5 procenta, počet prodaných </w:t>
      </w:r>
      <w:r w:rsidR="00A462D4" w:rsidRPr="00F54753">
        <w:rPr>
          <w:rFonts w:ascii="Arial" w:hAnsi="Arial" w:cs="Arial"/>
          <w:b/>
          <w:sz w:val="20"/>
          <w:szCs w:val="20"/>
        </w:rPr>
        <w:t xml:space="preserve">(1200) </w:t>
      </w:r>
      <w:r w:rsidR="004728A0" w:rsidRPr="00F54753">
        <w:rPr>
          <w:rFonts w:ascii="Arial" w:hAnsi="Arial" w:cs="Arial"/>
          <w:b/>
          <w:sz w:val="20"/>
          <w:szCs w:val="20"/>
        </w:rPr>
        <w:t xml:space="preserve">i nabízených </w:t>
      </w:r>
      <w:r w:rsidR="00A462D4" w:rsidRPr="00F54753">
        <w:rPr>
          <w:rFonts w:ascii="Arial" w:hAnsi="Arial" w:cs="Arial"/>
          <w:b/>
          <w:sz w:val="20"/>
          <w:szCs w:val="20"/>
        </w:rPr>
        <w:t xml:space="preserve">(5400) </w:t>
      </w:r>
      <w:r w:rsidR="004728A0" w:rsidRPr="00F54753">
        <w:rPr>
          <w:rFonts w:ascii="Arial" w:hAnsi="Arial" w:cs="Arial"/>
          <w:b/>
          <w:sz w:val="20"/>
          <w:szCs w:val="20"/>
        </w:rPr>
        <w:t xml:space="preserve">bytů byl stejný jako na konci minulého roku. V regionech </w:t>
      </w:r>
      <w:r w:rsidR="00A462D4" w:rsidRPr="00F54753">
        <w:rPr>
          <w:rFonts w:ascii="Arial" w:hAnsi="Arial" w:cs="Arial"/>
          <w:b/>
          <w:sz w:val="20"/>
          <w:szCs w:val="20"/>
        </w:rPr>
        <w:t>se prodalo 930 bytů.</w:t>
      </w:r>
    </w:p>
    <w:p w:rsidR="004728A0" w:rsidRPr="00F54753" w:rsidRDefault="004728A0" w:rsidP="004728A0">
      <w:pPr>
        <w:spacing w:line="360" w:lineRule="auto"/>
        <w:jc w:val="both"/>
        <w:rPr>
          <w:rFonts w:ascii="Arial" w:hAnsi="Arial" w:cs="Arial"/>
          <w:sz w:val="20"/>
          <w:szCs w:val="20"/>
        </w:rPr>
      </w:pPr>
      <w:r w:rsidRPr="00F54753">
        <w:rPr>
          <w:rFonts w:ascii="Arial" w:hAnsi="Arial" w:cs="Arial"/>
          <w:sz w:val="20"/>
          <w:szCs w:val="20"/>
        </w:rPr>
        <w:t>V současnosti stojí v Praze prodaný byt v průměru 104 666 korun na m</w:t>
      </w:r>
      <w:r w:rsidRPr="00F54753">
        <w:rPr>
          <w:rFonts w:ascii="Arial" w:hAnsi="Arial" w:cs="Arial"/>
          <w:sz w:val="20"/>
          <w:szCs w:val="20"/>
          <w:vertAlign w:val="superscript"/>
        </w:rPr>
        <w:t>2</w:t>
      </w:r>
      <w:r w:rsidRPr="00F54753">
        <w:rPr>
          <w:rFonts w:ascii="Arial" w:hAnsi="Arial" w:cs="Arial"/>
          <w:sz w:val="20"/>
          <w:szCs w:val="20"/>
        </w:rPr>
        <w:t>. To je o necelou pětinu více, než tomu bylo před rokem. Pro srovnání: před třemi roky se takový byt pořídil za 60 517, před dvěma za 72 131 a vloni za 88 552 korun na m</w:t>
      </w:r>
      <w:r w:rsidRPr="00F54753">
        <w:rPr>
          <w:rFonts w:ascii="Arial" w:hAnsi="Arial" w:cs="Arial"/>
          <w:sz w:val="20"/>
          <w:szCs w:val="20"/>
          <w:vertAlign w:val="superscript"/>
        </w:rPr>
        <w:t>2</w:t>
      </w:r>
      <w:r w:rsidRPr="00F54753">
        <w:rPr>
          <w:rFonts w:ascii="Arial" w:hAnsi="Arial" w:cs="Arial"/>
          <w:sz w:val="20"/>
          <w:szCs w:val="20"/>
        </w:rPr>
        <w:t>. Na druhou stranu dynamika tohoto růstu již není taková, jak tomu bylo ještě před několika málo měsíci. Ve druhém čtvrtletí loňského roku se uvedená cena pohybovala na úrovni 94 000 a následně 96 000 korun na m</w:t>
      </w:r>
      <w:r w:rsidRPr="00F54753">
        <w:rPr>
          <w:rFonts w:ascii="Arial" w:hAnsi="Arial" w:cs="Arial"/>
          <w:sz w:val="20"/>
          <w:szCs w:val="20"/>
          <w:vertAlign w:val="superscript"/>
        </w:rPr>
        <w:t>2</w:t>
      </w:r>
      <w:r w:rsidRPr="00F54753">
        <w:rPr>
          <w:rFonts w:ascii="Arial" w:hAnsi="Arial" w:cs="Arial"/>
          <w:sz w:val="20"/>
          <w:szCs w:val="20"/>
        </w:rPr>
        <w:t>. Na konci loňska pak byla dokonce již ve výši 101 091 korun za m</w:t>
      </w:r>
      <w:r w:rsidRPr="00F54753">
        <w:rPr>
          <w:rFonts w:ascii="Arial" w:hAnsi="Arial" w:cs="Arial"/>
          <w:sz w:val="20"/>
          <w:szCs w:val="20"/>
          <w:vertAlign w:val="superscript"/>
        </w:rPr>
        <w:t>2</w:t>
      </w:r>
      <w:r w:rsidRPr="00F54753">
        <w:rPr>
          <w:rFonts w:ascii="Arial" w:hAnsi="Arial" w:cs="Arial"/>
          <w:sz w:val="20"/>
          <w:szCs w:val="20"/>
        </w:rPr>
        <w:t>.</w:t>
      </w:r>
    </w:p>
    <w:p w:rsidR="004728A0" w:rsidRPr="00F54753" w:rsidRDefault="004728A0" w:rsidP="004728A0">
      <w:pPr>
        <w:spacing w:line="360" w:lineRule="auto"/>
        <w:jc w:val="both"/>
        <w:rPr>
          <w:rFonts w:ascii="Arial" w:hAnsi="Arial" w:cs="Arial"/>
          <w:sz w:val="20"/>
          <w:szCs w:val="20"/>
        </w:rPr>
      </w:pPr>
      <w:r w:rsidRPr="00F54753">
        <w:rPr>
          <w:rFonts w:ascii="Arial" w:hAnsi="Arial" w:cs="Arial"/>
          <w:sz w:val="20"/>
          <w:szCs w:val="20"/>
        </w:rPr>
        <w:t>„</w:t>
      </w:r>
      <w:r w:rsidRPr="00F54753">
        <w:rPr>
          <w:rFonts w:ascii="Arial" w:hAnsi="Arial" w:cs="Arial"/>
          <w:i/>
          <w:sz w:val="20"/>
          <w:szCs w:val="20"/>
        </w:rPr>
        <w:t>I když je zhruba 40 procent všech prodaných bytů v hlavním městě dražších než 100 tisíc korun za m2, kupují si zájemci ve velkém také levnější jednotky. V prvním čtvrtletí letošního roku se si tak pořídili necelých 38 procent bytů, které se cenově pohybovaly pod hranicí 90 tisíc korun za m2. V dalších měsících průměrná cena nejspíše ještě mírně poroste, ne ale už tak dramaticky. Nižším cenám by samozřejmě napomohla zvýšená nabídka nových bytů</w:t>
      </w:r>
      <w:r w:rsidRPr="00F54753">
        <w:rPr>
          <w:rFonts w:ascii="Arial" w:hAnsi="Arial" w:cs="Arial"/>
          <w:sz w:val="20"/>
          <w:szCs w:val="20"/>
        </w:rPr>
        <w:t xml:space="preserve">,“ vysvětluje Marcel Soural, předseda představenstva společnosti </w:t>
      </w:r>
      <w:proofErr w:type="spellStart"/>
      <w:r w:rsidRPr="00F54753">
        <w:rPr>
          <w:rFonts w:ascii="Arial" w:hAnsi="Arial" w:cs="Arial"/>
          <w:sz w:val="20"/>
          <w:szCs w:val="20"/>
        </w:rPr>
        <w:t>Trigema</w:t>
      </w:r>
      <w:proofErr w:type="spellEnd"/>
      <w:r w:rsidRPr="00F54753">
        <w:rPr>
          <w:rFonts w:ascii="Arial" w:hAnsi="Arial" w:cs="Arial"/>
          <w:sz w:val="20"/>
          <w:szCs w:val="20"/>
        </w:rPr>
        <w:t>.</w:t>
      </w:r>
    </w:p>
    <w:p w:rsidR="004728A0" w:rsidRPr="00F54753" w:rsidRDefault="00F54753" w:rsidP="00F54753">
      <w:pPr>
        <w:spacing w:line="360" w:lineRule="auto"/>
        <w:jc w:val="center"/>
        <w:rPr>
          <w:rFonts w:ascii="Arial" w:hAnsi="Arial" w:cs="Arial"/>
          <w:sz w:val="20"/>
          <w:szCs w:val="20"/>
        </w:rPr>
      </w:pPr>
      <w:r w:rsidRPr="00F54753">
        <w:rPr>
          <w:rFonts w:ascii="Arial" w:hAnsi="Arial" w:cs="Arial"/>
          <w:noProof/>
          <w:sz w:val="20"/>
          <w:szCs w:val="20"/>
          <w:lang w:eastAsia="cs-CZ"/>
        </w:rPr>
        <w:drawing>
          <wp:inline distT="0" distB="0" distL="0" distR="0">
            <wp:extent cx="4524375" cy="3393281"/>
            <wp:effectExtent l="0" t="0" r="0" b="0"/>
            <wp:docPr id="4" name="Obrázek 4" descr="\\holding.cz\Trigema\PublicFolder\Trigema a.s\11_Marketing\04_Developerske_projekty\Analyza_trhu\2019\20190215_analyza_1Q_2019\prez\jpg\1Q_PHA_vyvoj_ce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ding.cz\Trigema\PublicFolder\Trigema a.s\11_Marketing\04_Developerske_projekty\Analyza_trhu\2019\20190215_analyza_1Q_2019\prez\jpg\1Q_PHA_vyvoj_cen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4942" cy="3423706"/>
                    </a:xfrm>
                    <a:prstGeom prst="rect">
                      <a:avLst/>
                    </a:prstGeom>
                    <a:noFill/>
                    <a:ln>
                      <a:noFill/>
                    </a:ln>
                  </pic:spPr>
                </pic:pic>
              </a:graphicData>
            </a:graphic>
          </wp:inline>
        </w:drawing>
      </w:r>
    </w:p>
    <w:p w:rsidR="00F54753" w:rsidRDefault="00F54753" w:rsidP="004728A0">
      <w:pPr>
        <w:spacing w:line="360" w:lineRule="auto"/>
        <w:jc w:val="both"/>
        <w:rPr>
          <w:rFonts w:ascii="Arial" w:hAnsi="Arial" w:cs="Arial"/>
          <w:sz w:val="20"/>
          <w:szCs w:val="20"/>
        </w:rPr>
      </w:pPr>
    </w:p>
    <w:p w:rsidR="00F54753" w:rsidRDefault="00F54753" w:rsidP="004728A0">
      <w:pPr>
        <w:spacing w:line="360" w:lineRule="auto"/>
        <w:jc w:val="both"/>
        <w:rPr>
          <w:rFonts w:ascii="Arial" w:hAnsi="Arial" w:cs="Arial"/>
          <w:sz w:val="20"/>
          <w:szCs w:val="20"/>
        </w:rPr>
      </w:pPr>
    </w:p>
    <w:p w:rsidR="008B484F" w:rsidRDefault="008B484F" w:rsidP="00F54753">
      <w:pPr>
        <w:spacing w:line="360" w:lineRule="auto"/>
        <w:jc w:val="both"/>
        <w:rPr>
          <w:rFonts w:ascii="Arial" w:hAnsi="Arial" w:cs="Arial"/>
          <w:sz w:val="20"/>
          <w:szCs w:val="20"/>
        </w:rPr>
      </w:pPr>
    </w:p>
    <w:p w:rsidR="004728A0" w:rsidRPr="00F54753" w:rsidRDefault="004728A0" w:rsidP="00F54753">
      <w:pPr>
        <w:spacing w:line="360" w:lineRule="auto"/>
        <w:jc w:val="both"/>
        <w:rPr>
          <w:rFonts w:ascii="Arial" w:hAnsi="Arial" w:cs="Arial"/>
          <w:sz w:val="20"/>
          <w:szCs w:val="20"/>
        </w:rPr>
      </w:pPr>
      <w:bookmarkStart w:id="0" w:name="_GoBack"/>
      <w:bookmarkEnd w:id="0"/>
      <w:r w:rsidRPr="00F54753">
        <w:rPr>
          <w:rFonts w:ascii="Arial" w:hAnsi="Arial" w:cs="Arial"/>
          <w:sz w:val="20"/>
          <w:szCs w:val="20"/>
        </w:rPr>
        <w:t xml:space="preserve">Signálem, který dokazuje, že se trh s novým bydlením v hlavním městě začíná stabilizovat, je aktuální nabídka i poptávka po nových bytech. </w:t>
      </w:r>
    </w:p>
    <w:p w:rsidR="004728A0" w:rsidRPr="00F54753" w:rsidRDefault="004728A0" w:rsidP="00F54753">
      <w:pPr>
        <w:spacing w:line="360" w:lineRule="auto"/>
        <w:jc w:val="both"/>
        <w:rPr>
          <w:rFonts w:ascii="Arial" w:hAnsi="Arial" w:cs="Arial"/>
          <w:sz w:val="20"/>
          <w:szCs w:val="20"/>
        </w:rPr>
      </w:pPr>
      <w:r w:rsidRPr="00F54753">
        <w:rPr>
          <w:rFonts w:ascii="Arial" w:hAnsi="Arial" w:cs="Arial"/>
          <w:sz w:val="20"/>
          <w:szCs w:val="20"/>
        </w:rPr>
        <w:t xml:space="preserve">Již druhé čtvrtletí po sobě se nabídka nových bytů drží okolo 5400 jednotek. Do budoucnosti je navíc možné, že se tento počet dále zvýší. Důvodem nemusí být ani to, že by se na trhu najednou objevilo více nových projektů, ale pouze skutečnost, že již nyní je </w:t>
      </w:r>
      <w:r w:rsidR="000538E0" w:rsidRPr="00F54753">
        <w:rPr>
          <w:rFonts w:ascii="Arial" w:hAnsi="Arial" w:cs="Arial"/>
          <w:sz w:val="20"/>
          <w:szCs w:val="20"/>
        </w:rPr>
        <w:t>v nabídkách více jak dvě třetiny</w:t>
      </w:r>
      <w:r w:rsidRPr="00F54753">
        <w:rPr>
          <w:rFonts w:ascii="Arial" w:hAnsi="Arial" w:cs="Arial"/>
          <w:sz w:val="20"/>
          <w:szCs w:val="20"/>
        </w:rPr>
        <w:t xml:space="preserve"> bytů, které jsou dražší než 90 000 korun na m</w:t>
      </w:r>
      <w:r w:rsidRPr="00F54753">
        <w:rPr>
          <w:rFonts w:ascii="Arial" w:hAnsi="Arial" w:cs="Arial"/>
          <w:sz w:val="20"/>
          <w:szCs w:val="20"/>
          <w:vertAlign w:val="superscript"/>
        </w:rPr>
        <w:t>2</w:t>
      </w:r>
      <w:r w:rsidRPr="00F54753">
        <w:rPr>
          <w:rFonts w:ascii="Arial" w:hAnsi="Arial" w:cs="Arial"/>
          <w:sz w:val="20"/>
          <w:szCs w:val="20"/>
        </w:rPr>
        <w:t>.</w:t>
      </w:r>
    </w:p>
    <w:p w:rsidR="004728A0" w:rsidRPr="00F54753" w:rsidRDefault="004728A0" w:rsidP="00F54753">
      <w:pPr>
        <w:spacing w:line="360" w:lineRule="auto"/>
        <w:jc w:val="both"/>
        <w:rPr>
          <w:rFonts w:ascii="Arial" w:hAnsi="Arial" w:cs="Arial"/>
          <w:sz w:val="20"/>
          <w:szCs w:val="20"/>
        </w:rPr>
      </w:pPr>
      <w:r w:rsidRPr="00F54753">
        <w:rPr>
          <w:rFonts w:ascii="Arial" w:hAnsi="Arial" w:cs="Arial"/>
          <w:sz w:val="20"/>
          <w:szCs w:val="20"/>
        </w:rPr>
        <w:t xml:space="preserve">Nabídka nových bytů se však mírně zvyšuje už od konce předloňského roku. Tehdy developeři inzerovali pouze 3450 nových bytů. </w:t>
      </w:r>
    </w:p>
    <w:p w:rsidR="000538E0" w:rsidRPr="00F54753" w:rsidRDefault="000538E0" w:rsidP="00F54753">
      <w:pPr>
        <w:spacing w:line="360" w:lineRule="auto"/>
        <w:jc w:val="both"/>
        <w:rPr>
          <w:rFonts w:ascii="Arial" w:hAnsi="Arial" w:cs="Arial"/>
          <w:color w:val="0D0D0D" w:themeColor="text1" w:themeTint="F2"/>
          <w:sz w:val="20"/>
          <w:szCs w:val="20"/>
        </w:rPr>
      </w:pPr>
      <w:r w:rsidRPr="00F54753">
        <w:rPr>
          <w:rFonts w:ascii="Arial" w:hAnsi="Arial" w:cs="Arial"/>
          <w:sz w:val="20"/>
          <w:szCs w:val="20"/>
        </w:rPr>
        <w:t>„</w:t>
      </w:r>
      <w:r w:rsidRPr="00F54753">
        <w:rPr>
          <w:rFonts w:ascii="Arial" w:hAnsi="Arial" w:cs="Arial"/>
          <w:i/>
          <w:sz w:val="20"/>
          <w:szCs w:val="20"/>
        </w:rPr>
        <w:t>Na trhu se objevila řada větších projektů o sto a více bytech většinou menších dispozic. Tím se rozrostla především nabídka investičního bydlení. Ani stabilní příliv nových jednotek však dostatečně nenavýšil stav celkové nabídky nového bydlení v metropoli, která se od počátku roku pohybuje kolem 5,5 tisíce jednotek. Očekáváme, že v souvislosti s plánovanou výstavbou a současným vývojem prodejů by v příštím čtvrtletí mohla nabídka mírně růst</w:t>
      </w:r>
      <w:r w:rsidRPr="00F54753">
        <w:rPr>
          <w:sz w:val="20"/>
          <w:szCs w:val="20"/>
        </w:rPr>
        <w:t xml:space="preserve">,“ </w:t>
      </w:r>
      <w:r w:rsidRPr="00F54753">
        <w:rPr>
          <w:rFonts w:ascii="Arial" w:hAnsi="Arial" w:cs="Arial"/>
          <w:color w:val="0D0D0D" w:themeColor="text1" w:themeTint="F2"/>
          <w:sz w:val="20"/>
          <w:szCs w:val="20"/>
        </w:rPr>
        <w:t>říká Petr Michálek, generální ředitel Skanska Reality.</w:t>
      </w:r>
    </w:p>
    <w:p w:rsidR="004728A0" w:rsidRPr="00F54753" w:rsidRDefault="008C00CA" w:rsidP="000538E0">
      <w:pPr>
        <w:spacing w:line="360" w:lineRule="auto"/>
        <w:jc w:val="center"/>
        <w:rPr>
          <w:rFonts w:ascii="Arial" w:hAnsi="Arial" w:cs="Arial"/>
          <w:color w:val="FF0000"/>
          <w:sz w:val="20"/>
          <w:szCs w:val="20"/>
        </w:rPr>
      </w:pPr>
      <w:r w:rsidRPr="00F54753">
        <w:rPr>
          <w:rFonts w:ascii="Arial" w:hAnsi="Arial" w:cs="Arial"/>
          <w:noProof/>
          <w:color w:val="FF0000"/>
          <w:sz w:val="20"/>
          <w:szCs w:val="20"/>
          <w:lang w:eastAsia="cs-CZ"/>
        </w:rPr>
        <w:drawing>
          <wp:inline distT="0" distB="0" distL="0" distR="0">
            <wp:extent cx="4580890" cy="3435668"/>
            <wp:effectExtent l="0" t="0" r="0" b="0"/>
            <wp:docPr id="3" name="Obrázek 3" descr="Y:\Trigema a.s\11_Marketing\04_Developerske_projekty\Analyza_trhu\2019\20190215_analyza_1Q_2019\prez\jpg\1Q_PHA_vyvoj_nabid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Trigema a.s\11_Marketing\04_Developerske_projekty\Analyza_trhu\2019\20190215_analyza_1Q_2019\prez\jpg\1Q_PHA_vyvoj_nabidk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5210" cy="3446408"/>
                    </a:xfrm>
                    <a:prstGeom prst="rect">
                      <a:avLst/>
                    </a:prstGeom>
                    <a:noFill/>
                    <a:ln>
                      <a:noFill/>
                    </a:ln>
                  </pic:spPr>
                </pic:pic>
              </a:graphicData>
            </a:graphic>
          </wp:inline>
        </w:drawing>
      </w:r>
    </w:p>
    <w:p w:rsidR="00F54753" w:rsidRDefault="00F54753" w:rsidP="004728A0">
      <w:pPr>
        <w:spacing w:line="360" w:lineRule="auto"/>
        <w:jc w:val="both"/>
        <w:rPr>
          <w:rFonts w:ascii="Arial" w:hAnsi="Arial" w:cs="Arial"/>
          <w:color w:val="0D0D0D" w:themeColor="text1" w:themeTint="F2"/>
          <w:sz w:val="20"/>
          <w:szCs w:val="20"/>
        </w:rPr>
      </w:pPr>
    </w:p>
    <w:p w:rsidR="00F54753" w:rsidRDefault="00F54753" w:rsidP="004728A0">
      <w:pPr>
        <w:spacing w:line="360" w:lineRule="auto"/>
        <w:jc w:val="both"/>
        <w:rPr>
          <w:rFonts w:ascii="Arial" w:hAnsi="Arial" w:cs="Arial"/>
          <w:color w:val="0D0D0D" w:themeColor="text1" w:themeTint="F2"/>
          <w:sz w:val="20"/>
          <w:szCs w:val="20"/>
        </w:rPr>
      </w:pPr>
    </w:p>
    <w:p w:rsidR="00F54753" w:rsidRDefault="00F54753" w:rsidP="004728A0">
      <w:pPr>
        <w:spacing w:line="360" w:lineRule="auto"/>
        <w:jc w:val="both"/>
        <w:rPr>
          <w:rFonts w:ascii="Arial" w:hAnsi="Arial" w:cs="Arial"/>
          <w:color w:val="0D0D0D" w:themeColor="text1" w:themeTint="F2"/>
          <w:sz w:val="20"/>
          <w:szCs w:val="20"/>
        </w:rPr>
      </w:pPr>
    </w:p>
    <w:p w:rsidR="004728A0" w:rsidRPr="00F54753" w:rsidRDefault="004728A0" w:rsidP="004728A0">
      <w:pPr>
        <w:spacing w:line="360" w:lineRule="auto"/>
        <w:jc w:val="both"/>
        <w:rPr>
          <w:rFonts w:ascii="Arial" w:hAnsi="Arial" w:cs="Arial"/>
          <w:color w:val="0D0D0D" w:themeColor="text1" w:themeTint="F2"/>
          <w:sz w:val="20"/>
          <w:szCs w:val="20"/>
        </w:rPr>
      </w:pPr>
      <w:proofErr w:type="spellStart"/>
      <w:r w:rsidRPr="00F54753">
        <w:rPr>
          <w:rFonts w:ascii="Arial" w:hAnsi="Arial" w:cs="Arial"/>
          <w:color w:val="0D0D0D" w:themeColor="text1" w:themeTint="F2"/>
          <w:sz w:val="20"/>
          <w:szCs w:val="20"/>
        </w:rPr>
        <w:t>Mezikvartálně</w:t>
      </w:r>
      <w:proofErr w:type="spellEnd"/>
      <w:r w:rsidRPr="00F54753">
        <w:rPr>
          <w:rFonts w:ascii="Arial" w:hAnsi="Arial" w:cs="Arial"/>
          <w:color w:val="0D0D0D" w:themeColor="text1" w:themeTint="F2"/>
          <w:sz w:val="20"/>
          <w:szCs w:val="20"/>
        </w:rPr>
        <w:t xml:space="preserve"> se nezměnil ani počet prodaných bytů. 1200 jednotek, jež si zájemci během prvních tří měsíců tohoto roku pořídili, zároveň ale napovídá, že se letos </w:t>
      </w:r>
      <w:r w:rsidR="00970549" w:rsidRPr="00F54753">
        <w:rPr>
          <w:rFonts w:ascii="Arial" w:hAnsi="Arial" w:cs="Arial"/>
          <w:color w:val="0D0D0D" w:themeColor="text1" w:themeTint="F2"/>
          <w:sz w:val="20"/>
          <w:szCs w:val="20"/>
        </w:rPr>
        <w:t>může prodat</w:t>
      </w:r>
      <w:r w:rsidRPr="00F54753">
        <w:rPr>
          <w:rFonts w:ascii="Arial" w:hAnsi="Arial" w:cs="Arial"/>
          <w:color w:val="0D0D0D" w:themeColor="text1" w:themeTint="F2"/>
          <w:sz w:val="20"/>
          <w:szCs w:val="20"/>
        </w:rPr>
        <w:t xml:space="preserve"> nejméně bytů od roku 2012. Nejvíce jich bylo naopak v roce 2015, kdy se dohromady na trhu uplatnilo hned 7000 nových jednotek. Vedle omezené nabídky a rostoucích cen patří k dalším důvodům tohoto poklesu omezení přístupu k hypotékám ze strany České národní banky, které platí od loňského října. </w:t>
      </w:r>
    </w:p>
    <w:p w:rsidR="00CE5475" w:rsidRPr="00F54753" w:rsidRDefault="00CE5475" w:rsidP="00676A04">
      <w:pPr>
        <w:spacing w:line="360" w:lineRule="auto"/>
        <w:jc w:val="both"/>
        <w:rPr>
          <w:rFonts w:ascii="Arial" w:hAnsi="Arial" w:cs="Arial"/>
          <w:sz w:val="20"/>
          <w:szCs w:val="20"/>
        </w:rPr>
      </w:pPr>
      <w:bookmarkStart w:id="1" w:name="_Hlk6395884"/>
      <w:r w:rsidRPr="00F54753">
        <w:rPr>
          <w:rFonts w:ascii="Arial" w:hAnsi="Arial" w:cs="Arial"/>
          <w:i/>
          <w:iCs/>
          <w:sz w:val="20"/>
          <w:szCs w:val="20"/>
        </w:rPr>
        <w:t>„Byty se prodávají stejně jako v minulém roce. Poptávka je tedy stále vysoká. Problém není v zájmu o nové byty, ale v uměle omezené nabídce kvůli paralyzovanému povolování na straně jedné a v nedostupných hypotékách na straně druhé. Jen pokud se na trh dostane několik velkých projektů dostupných pro střední třídu, může se poptávka uspokojit a zastavit růst cen,“</w:t>
      </w:r>
      <w:bookmarkEnd w:id="1"/>
      <w:r w:rsidR="000538E0" w:rsidRPr="00F54753">
        <w:rPr>
          <w:rFonts w:ascii="Arial" w:hAnsi="Arial" w:cs="Arial"/>
          <w:sz w:val="20"/>
          <w:szCs w:val="20"/>
        </w:rPr>
        <w:t xml:space="preserve"> komentuje současnou situaci</w:t>
      </w:r>
      <w:r w:rsidRPr="00F54753">
        <w:rPr>
          <w:rFonts w:ascii="Arial" w:hAnsi="Arial" w:cs="Arial"/>
          <w:sz w:val="20"/>
          <w:szCs w:val="20"/>
        </w:rPr>
        <w:t xml:space="preserve"> předseda představenstva </w:t>
      </w:r>
      <w:proofErr w:type="spellStart"/>
      <w:r w:rsidRPr="00F54753">
        <w:rPr>
          <w:rFonts w:ascii="Arial" w:hAnsi="Arial" w:cs="Arial"/>
          <w:sz w:val="20"/>
          <w:szCs w:val="20"/>
        </w:rPr>
        <w:t>Central</w:t>
      </w:r>
      <w:proofErr w:type="spellEnd"/>
      <w:r w:rsidRPr="00F54753">
        <w:rPr>
          <w:rFonts w:ascii="Arial" w:hAnsi="Arial" w:cs="Arial"/>
          <w:sz w:val="20"/>
          <w:szCs w:val="20"/>
        </w:rPr>
        <w:t xml:space="preserve"> Group Dušan Kunovský.</w:t>
      </w:r>
    </w:p>
    <w:p w:rsidR="004728A0" w:rsidRPr="00F54753" w:rsidRDefault="004728A0" w:rsidP="004728A0">
      <w:pPr>
        <w:spacing w:line="360" w:lineRule="auto"/>
        <w:jc w:val="both"/>
        <w:rPr>
          <w:rFonts w:ascii="Arial" w:hAnsi="Arial" w:cs="Arial"/>
          <w:color w:val="0D0D0D" w:themeColor="text1" w:themeTint="F2"/>
          <w:sz w:val="20"/>
          <w:szCs w:val="20"/>
        </w:rPr>
      </w:pPr>
    </w:p>
    <w:p w:rsidR="004728A0" w:rsidRPr="00F54753" w:rsidRDefault="008C00CA" w:rsidP="000538E0">
      <w:pPr>
        <w:spacing w:line="360" w:lineRule="auto"/>
        <w:jc w:val="center"/>
        <w:rPr>
          <w:rFonts w:ascii="Arial" w:hAnsi="Arial" w:cs="Arial"/>
          <w:color w:val="FF0000"/>
          <w:sz w:val="20"/>
          <w:szCs w:val="20"/>
        </w:rPr>
      </w:pPr>
      <w:r w:rsidRPr="00F54753">
        <w:rPr>
          <w:rFonts w:ascii="Arial" w:hAnsi="Arial" w:cs="Arial"/>
          <w:noProof/>
          <w:color w:val="FF0000"/>
          <w:sz w:val="20"/>
          <w:szCs w:val="20"/>
          <w:lang w:eastAsia="cs-CZ"/>
        </w:rPr>
        <w:drawing>
          <wp:inline distT="0" distB="0" distL="0" distR="0">
            <wp:extent cx="4809913" cy="3607435"/>
            <wp:effectExtent l="0" t="0" r="0" b="0"/>
            <wp:docPr id="2" name="Obrázek 2" descr="Y:\Trigema a.s\11_Marketing\04_Developerske_projekty\Analyza_trhu\2019\20190215_analyza_1Q_2019\prez\jpg\1Q_PHA_vyvoj_prodeju_kvar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rigema a.s\11_Marketing\04_Developerske_projekty\Analyza_trhu\2019\20190215_analyza_1Q_2019\prez\jpg\1Q_PHA_vyvoj_prodeju_kvar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4086" cy="3610565"/>
                    </a:xfrm>
                    <a:prstGeom prst="rect">
                      <a:avLst/>
                    </a:prstGeom>
                    <a:noFill/>
                    <a:ln>
                      <a:noFill/>
                    </a:ln>
                  </pic:spPr>
                </pic:pic>
              </a:graphicData>
            </a:graphic>
          </wp:inline>
        </w:drawing>
      </w:r>
    </w:p>
    <w:p w:rsidR="004728A0" w:rsidRPr="00F54753" w:rsidRDefault="004728A0" w:rsidP="004728A0">
      <w:pPr>
        <w:spacing w:line="360" w:lineRule="auto"/>
        <w:jc w:val="both"/>
        <w:rPr>
          <w:rFonts w:ascii="Arial" w:hAnsi="Arial" w:cs="Arial"/>
          <w:color w:val="0D0D0D" w:themeColor="text1" w:themeTint="F2"/>
          <w:sz w:val="20"/>
          <w:szCs w:val="20"/>
        </w:rPr>
      </w:pPr>
    </w:p>
    <w:p w:rsidR="00F54753" w:rsidRDefault="00F54753" w:rsidP="004728A0">
      <w:pPr>
        <w:spacing w:line="360" w:lineRule="auto"/>
        <w:jc w:val="both"/>
        <w:rPr>
          <w:rFonts w:ascii="Arial" w:hAnsi="Arial" w:cs="Arial"/>
          <w:sz w:val="20"/>
          <w:szCs w:val="20"/>
        </w:rPr>
      </w:pPr>
    </w:p>
    <w:p w:rsidR="00F54753" w:rsidRDefault="00F54753" w:rsidP="004728A0">
      <w:pPr>
        <w:spacing w:line="360" w:lineRule="auto"/>
        <w:jc w:val="both"/>
        <w:rPr>
          <w:rFonts w:ascii="Arial" w:hAnsi="Arial" w:cs="Arial"/>
          <w:sz w:val="20"/>
          <w:szCs w:val="20"/>
        </w:rPr>
      </w:pPr>
    </w:p>
    <w:p w:rsidR="00F54753" w:rsidRDefault="00F54753" w:rsidP="004728A0">
      <w:pPr>
        <w:spacing w:line="360" w:lineRule="auto"/>
        <w:jc w:val="both"/>
        <w:rPr>
          <w:rFonts w:ascii="Arial" w:hAnsi="Arial" w:cs="Arial"/>
          <w:sz w:val="20"/>
          <w:szCs w:val="20"/>
        </w:rPr>
      </w:pPr>
    </w:p>
    <w:p w:rsidR="00F54753" w:rsidRDefault="00F54753" w:rsidP="004728A0">
      <w:pPr>
        <w:spacing w:line="360" w:lineRule="auto"/>
        <w:jc w:val="both"/>
        <w:rPr>
          <w:rFonts w:ascii="Arial" w:hAnsi="Arial" w:cs="Arial"/>
          <w:sz w:val="20"/>
          <w:szCs w:val="20"/>
        </w:rPr>
      </w:pPr>
    </w:p>
    <w:p w:rsidR="004728A0" w:rsidRPr="00F54753" w:rsidRDefault="004728A0" w:rsidP="004728A0">
      <w:pPr>
        <w:spacing w:line="360" w:lineRule="auto"/>
        <w:jc w:val="both"/>
        <w:rPr>
          <w:rFonts w:ascii="Arial" w:hAnsi="Arial" w:cs="Arial"/>
          <w:sz w:val="20"/>
          <w:szCs w:val="20"/>
        </w:rPr>
      </w:pPr>
      <w:r w:rsidRPr="00F54753">
        <w:rPr>
          <w:rFonts w:ascii="Arial" w:hAnsi="Arial" w:cs="Arial"/>
          <w:sz w:val="20"/>
          <w:szCs w:val="20"/>
        </w:rPr>
        <w:t xml:space="preserve">Mimo hlavní město se v prvním čtvrtletí prodalo </w:t>
      </w:r>
      <w:r w:rsidR="000A292C" w:rsidRPr="00F54753">
        <w:rPr>
          <w:rFonts w:ascii="Arial" w:hAnsi="Arial" w:cs="Arial"/>
          <w:sz w:val="20"/>
          <w:szCs w:val="20"/>
        </w:rPr>
        <w:t xml:space="preserve">podle analýz </w:t>
      </w:r>
      <w:proofErr w:type="spellStart"/>
      <w:r w:rsidR="000A292C" w:rsidRPr="00F54753">
        <w:rPr>
          <w:rFonts w:ascii="Arial" w:hAnsi="Arial" w:cs="Arial"/>
          <w:sz w:val="20"/>
          <w:szCs w:val="20"/>
        </w:rPr>
        <w:t>Trigemy</w:t>
      </w:r>
      <w:proofErr w:type="spellEnd"/>
      <w:r w:rsidR="000A292C" w:rsidRPr="00F54753">
        <w:rPr>
          <w:rFonts w:ascii="Arial" w:hAnsi="Arial" w:cs="Arial"/>
          <w:sz w:val="20"/>
          <w:szCs w:val="20"/>
        </w:rPr>
        <w:t xml:space="preserve"> </w:t>
      </w:r>
      <w:r w:rsidR="00001E4D" w:rsidRPr="00F54753">
        <w:rPr>
          <w:rFonts w:ascii="Arial" w:hAnsi="Arial" w:cs="Arial"/>
          <w:sz w:val="20"/>
          <w:szCs w:val="20"/>
        </w:rPr>
        <w:t>930</w:t>
      </w:r>
      <w:r w:rsidRPr="00F54753">
        <w:rPr>
          <w:rFonts w:ascii="Arial" w:hAnsi="Arial" w:cs="Arial"/>
          <w:sz w:val="20"/>
          <w:szCs w:val="20"/>
        </w:rPr>
        <w:t xml:space="preserve"> nových bytů. Nejvíce z nich bylo v</w:t>
      </w:r>
      <w:r w:rsidR="00001E4D" w:rsidRPr="00F54753">
        <w:rPr>
          <w:rFonts w:ascii="Arial" w:hAnsi="Arial" w:cs="Arial"/>
          <w:sz w:val="20"/>
          <w:szCs w:val="20"/>
        </w:rPr>
        <w:t> Jihomoravském (248), Olomouckém (200) a Středočeském (170) kraji</w:t>
      </w:r>
      <w:r w:rsidRPr="00F54753">
        <w:rPr>
          <w:rFonts w:ascii="Arial" w:hAnsi="Arial" w:cs="Arial"/>
          <w:sz w:val="20"/>
          <w:szCs w:val="20"/>
        </w:rPr>
        <w:t xml:space="preserve">. Nejméně potom </w:t>
      </w:r>
      <w:r w:rsidR="00001E4D" w:rsidRPr="00F54753">
        <w:rPr>
          <w:rFonts w:ascii="Arial" w:hAnsi="Arial" w:cs="Arial"/>
          <w:sz w:val="20"/>
          <w:szCs w:val="20"/>
        </w:rPr>
        <w:t xml:space="preserve">na Vysočině, </w:t>
      </w:r>
      <w:r w:rsidRPr="00F54753">
        <w:rPr>
          <w:rFonts w:ascii="Arial" w:hAnsi="Arial" w:cs="Arial"/>
          <w:sz w:val="20"/>
          <w:szCs w:val="20"/>
        </w:rPr>
        <w:t>v</w:t>
      </w:r>
      <w:r w:rsidR="002609C3" w:rsidRPr="00F54753">
        <w:rPr>
          <w:rFonts w:ascii="Arial" w:hAnsi="Arial" w:cs="Arial"/>
          <w:sz w:val="20"/>
          <w:szCs w:val="20"/>
        </w:rPr>
        <w:t> </w:t>
      </w:r>
      <w:r w:rsidR="00001E4D" w:rsidRPr="00F54753">
        <w:rPr>
          <w:rFonts w:ascii="Arial" w:hAnsi="Arial" w:cs="Arial"/>
          <w:sz w:val="20"/>
          <w:szCs w:val="20"/>
        </w:rPr>
        <w:t>Moravskoslezském</w:t>
      </w:r>
      <w:r w:rsidR="002609C3" w:rsidRPr="00F54753">
        <w:rPr>
          <w:rFonts w:ascii="Arial" w:hAnsi="Arial" w:cs="Arial"/>
          <w:sz w:val="20"/>
          <w:szCs w:val="20"/>
        </w:rPr>
        <w:t>,</w:t>
      </w:r>
      <w:r w:rsidR="00001E4D" w:rsidRPr="00F54753">
        <w:rPr>
          <w:rFonts w:ascii="Arial" w:hAnsi="Arial" w:cs="Arial"/>
          <w:sz w:val="20"/>
          <w:szCs w:val="20"/>
        </w:rPr>
        <w:t xml:space="preserve"> Zlínském </w:t>
      </w:r>
      <w:r w:rsidR="002609C3" w:rsidRPr="00F54753">
        <w:rPr>
          <w:rFonts w:ascii="Arial" w:hAnsi="Arial" w:cs="Arial"/>
          <w:sz w:val="20"/>
          <w:szCs w:val="20"/>
        </w:rPr>
        <w:t xml:space="preserve">a Karlovarském </w:t>
      </w:r>
      <w:r w:rsidR="00001E4D" w:rsidRPr="00F54753">
        <w:rPr>
          <w:rFonts w:ascii="Arial" w:hAnsi="Arial" w:cs="Arial"/>
          <w:sz w:val="20"/>
          <w:szCs w:val="20"/>
        </w:rPr>
        <w:t>kraji</w:t>
      </w:r>
      <w:r w:rsidRPr="00F54753">
        <w:rPr>
          <w:rFonts w:ascii="Arial" w:hAnsi="Arial" w:cs="Arial"/>
          <w:sz w:val="20"/>
          <w:szCs w:val="20"/>
        </w:rPr>
        <w:t xml:space="preserve">. V průměru se v regionech nový byt prodal za </w:t>
      </w:r>
      <w:r w:rsidR="00001E4D" w:rsidRPr="00F54753">
        <w:rPr>
          <w:rFonts w:ascii="Arial" w:hAnsi="Arial" w:cs="Arial"/>
          <w:sz w:val="20"/>
          <w:szCs w:val="20"/>
        </w:rPr>
        <w:t>55 714</w:t>
      </w:r>
      <w:r w:rsidRPr="00F54753">
        <w:rPr>
          <w:rFonts w:ascii="Arial" w:hAnsi="Arial" w:cs="Arial"/>
          <w:sz w:val="20"/>
          <w:szCs w:val="20"/>
        </w:rPr>
        <w:t xml:space="preserve"> korun na m</w:t>
      </w:r>
      <w:r w:rsidRPr="00F54753">
        <w:rPr>
          <w:rFonts w:ascii="Arial" w:hAnsi="Arial" w:cs="Arial"/>
          <w:sz w:val="20"/>
          <w:szCs w:val="20"/>
          <w:vertAlign w:val="superscript"/>
        </w:rPr>
        <w:t>2</w:t>
      </w:r>
      <w:r w:rsidRPr="00F54753">
        <w:rPr>
          <w:rFonts w:ascii="Arial" w:hAnsi="Arial" w:cs="Arial"/>
          <w:sz w:val="20"/>
          <w:szCs w:val="20"/>
        </w:rPr>
        <w:t xml:space="preserve">, což je o </w:t>
      </w:r>
      <w:r w:rsidR="00001E4D" w:rsidRPr="00F54753">
        <w:rPr>
          <w:rFonts w:ascii="Arial" w:hAnsi="Arial" w:cs="Arial"/>
          <w:sz w:val="20"/>
          <w:szCs w:val="20"/>
        </w:rPr>
        <w:t>necelých 49 000</w:t>
      </w:r>
      <w:r w:rsidRPr="00F54753">
        <w:rPr>
          <w:rFonts w:ascii="Arial" w:hAnsi="Arial" w:cs="Arial"/>
          <w:sz w:val="20"/>
          <w:szCs w:val="20"/>
        </w:rPr>
        <w:t xml:space="preserve"> korun méně, než za kolik se dá takový byt koupit v Praze. V nabídkách bylo celkově </w:t>
      </w:r>
      <w:r w:rsidR="00001E4D" w:rsidRPr="00F54753">
        <w:rPr>
          <w:rFonts w:ascii="Arial" w:hAnsi="Arial" w:cs="Arial"/>
          <w:sz w:val="20"/>
          <w:szCs w:val="20"/>
        </w:rPr>
        <w:t>4 850</w:t>
      </w:r>
      <w:r w:rsidRPr="00F54753">
        <w:rPr>
          <w:rFonts w:ascii="Arial" w:hAnsi="Arial" w:cs="Arial"/>
          <w:sz w:val="20"/>
          <w:szCs w:val="20"/>
        </w:rPr>
        <w:t xml:space="preserve"> bytů, a to zejména v</w:t>
      </w:r>
      <w:r w:rsidR="00001E4D" w:rsidRPr="00F54753">
        <w:rPr>
          <w:rFonts w:ascii="Arial" w:hAnsi="Arial" w:cs="Arial"/>
          <w:sz w:val="20"/>
          <w:szCs w:val="20"/>
        </w:rPr>
        <w:t> Jihomoravském (1410), Středočeském (955) a Olomouckém (680) kraji.</w:t>
      </w:r>
    </w:p>
    <w:p w:rsidR="00F54753" w:rsidRDefault="00F54753" w:rsidP="00F54753">
      <w:pPr>
        <w:spacing w:line="360" w:lineRule="auto"/>
        <w:jc w:val="center"/>
        <w:rPr>
          <w:rFonts w:ascii="Arial" w:hAnsi="Arial" w:cs="Arial"/>
          <w:noProof/>
          <w:sz w:val="20"/>
          <w:szCs w:val="20"/>
          <w:lang w:eastAsia="cs-CZ"/>
        </w:rPr>
      </w:pPr>
    </w:p>
    <w:p w:rsidR="00F54753" w:rsidRDefault="00F54753" w:rsidP="00F54753">
      <w:pPr>
        <w:spacing w:line="360" w:lineRule="auto"/>
        <w:jc w:val="center"/>
        <w:rPr>
          <w:rFonts w:ascii="Arial" w:hAnsi="Arial" w:cs="Arial"/>
          <w:noProof/>
          <w:sz w:val="20"/>
          <w:szCs w:val="20"/>
          <w:lang w:eastAsia="cs-CZ"/>
        </w:rPr>
      </w:pPr>
    </w:p>
    <w:p w:rsidR="00F54753" w:rsidRDefault="00F54753" w:rsidP="00F54753">
      <w:pPr>
        <w:spacing w:line="360" w:lineRule="auto"/>
        <w:jc w:val="center"/>
        <w:rPr>
          <w:rFonts w:ascii="Arial" w:hAnsi="Arial" w:cs="Arial"/>
          <w:noProof/>
          <w:sz w:val="20"/>
          <w:szCs w:val="20"/>
          <w:lang w:eastAsia="cs-CZ"/>
        </w:rPr>
      </w:pPr>
    </w:p>
    <w:p w:rsidR="00F54753" w:rsidRDefault="00F54753" w:rsidP="00F54753">
      <w:pPr>
        <w:spacing w:line="360" w:lineRule="auto"/>
        <w:jc w:val="center"/>
        <w:rPr>
          <w:rFonts w:ascii="Arial" w:hAnsi="Arial" w:cs="Arial"/>
          <w:noProof/>
          <w:sz w:val="20"/>
          <w:szCs w:val="20"/>
          <w:lang w:eastAsia="cs-CZ"/>
        </w:rPr>
      </w:pPr>
    </w:p>
    <w:p w:rsidR="00F54753" w:rsidRDefault="00F54753" w:rsidP="00F54753">
      <w:pPr>
        <w:spacing w:line="360" w:lineRule="auto"/>
        <w:jc w:val="center"/>
        <w:rPr>
          <w:rFonts w:ascii="Arial" w:hAnsi="Arial" w:cs="Arial"/>
          <w:noProof/>
          <w:sz w:val="20"/>
          <w:szCs w:val="20"/>
          <w:lang w:eastAsia="cs-CZ"/>
        </w:rPr>
      </w:pPr>
    </w:p>
    <w:p w:rsidR="00F54753" w:rsidRDefault="00F54753" w:rsidP="00F54753">
      <w:pPr>
        <w:spacing w:line="360" w:lineRule="auto"/>
        <w:jc w:val="center"/>
        <w:rPr>
          <w:rFonts w:ascii="Arial" w:hAnsi="Arial" w:cs="Arial"/>
          <w:noProof/>
          <w:sz w:val="20"/>
          <w:szCs w:val="20"/>
          <w:lang w:eastAsia="cs-CZ"/>
        </w:rPr>
      </w:pPr>
    </w:p>
    <w:p w:rsidR="00F54753" w:rsidRDefault="00F54753" w:rsidP="00F54753">
      <w:pPr>
        <w:spacing w:line="360" w:lineRule="auto"/>
        <w:jc w:val="center"/>
        <w:rPr>
          <w:rFonts w:ascii="Arial" w:hAnsi="Arial" w:cs="Arial"/>
          <w:sz w:val="20"/>
          <w:szCs w:val="20"/>
        </w:rPr>
      </w:pPr>
    </w:p>
    <w:p w:rsidR="00F54753" w:rsidRDefault="00F54753" w:rsidP="004728A0">
      <w:pPr>
        <w:spacing w:line="360" w:lineRule="auto"/>
        <w:jc w:val="both"/>
        <w:rPr>
          <w:rFonts w:ascii="Arial" w:hAnsi="Arial" w:cs="Arial"/>
          <w:sz w:val="20"/>
          <w:szCs w:val="20"/>
        </w:rPr>
      </w:pPr>
    </w:p>
    <w:p w:rsidR="00F54753" w:rsidRDefault="00F54753" w:rsidP="004728A0">
      <w:pPr>
        <w:spacing w:line="360" w:lineRule="auto"/>
        <w:jc w:val="both"/>
        <w:rPr>
          <w:rFonts w:ascii="Arial" w:hAnsi="Arial" w:cs="Arial"/>
          <w:sz w:val="20"/>
          <w:szCs w:val="20"/>
        </w:rPr>
      </w:pPr>
    </w:p>
    <w:p w:rsidR="00F54753" w:rsidRDefault="00F54753" w:rsidP="004728A0">
      <w:pPr>
        <w:spacing w:line="360" w:lineRule="auto"/>
        <w:jc w:val="both"/>
        <w:rPr>
          <w:rFonts w:ascii="Arial" w:hAnsi="Arial" w:cs="Arial"/>
          <w:sz w:val="20"/>
          <w:szCs w:val="20"/>
        </w:rPr>
      </w:pPr>
    </w:p>
    <w:p w:rsidR="00F54753" w:rsidRPr="00F54753" w:rsidRDefault="00F54753" w:rsidP="004728A0">
      <w:pPr>
        <w:spacing w:line="360" w:lineRule="auto"/>
        <w:jc w:val="both"/>
        <w:rPr>
          <w:rFonts w:ascii="Arial" w:hAnsi="Arial" w:cs="Arial"/>
          <w:sz w:val="20"/>
          <w:szCs w:val="20"/>
        </w:rPr>
      </w:pPr>
    </w:p>
    <w:p w:rsidR="004728A0" w:rsidRPr="00F54753" w:rsidRDefault="004728A0" w:rsidP="004728A0">
      <w:pPr>
        <w:pBdr>
          <w:bottom w:val="single" w:sz="6" w:space="1" w:color="auto"/>
        </w:pBdr>
        <w:jc w:val="both"/>
        <w:rPr>
          <w:rFonts w:ascii="Arial" w:hAnsi="Arial" w:cs="Arial"/>
          <w:sz w:val="20"/>
          <w:szCs w:val="20"/>
        </w:rPr>
      </w:pPr>
    </w:p>
    <w:p w:rsidR="004728A0" w:rsidRPr="00F54753" w:rsidRDefault="004728A0" w:rsidP="004728A0">
      <w:pPr>
        <w:spacing w:after="240" w:line="360" w:lineRule="auto"/>
        <w:jc w:val="both"/>
        <w:rPr>
          <w:rFonts w:ascii="Arial" w:hAnsi="Arial" w:cs="Arial"/>
          <w:b/>
          <w:sz w:val="20"/>
          <w:szCs w:val="20"/>
        </w:rPr>
      </w:pPr>
      <w:r w:rsidRPr="00F54753">
        <w:rPr>
          <w:rFonts w:ascii="Arial" w:hAnsi="Arial" w:cs="Arial"/>
          <w:b/>
          <w:sz w:val="20"/>
          <w:szCs w:val="20"/>
        </w:rPr>
        <w:t>Kontakty pro média:</w:t>
      </w:r>
    </w:p>
    <w:p w:rsidR="004728A0" w:rsidRPr="00F54753" w:rsidRDefault="004728A0" w:rsidP="004728A0">
      <w:pPr>
        <w:spacing w:after="0" w:line="360" w:lineRule="auto"/>
        <w:jc w:val="both"/>
        <w:rPr>
          <w:rFonts w:ascii="Arial" w:hAnsi="Arial" w:cs="Arial"/>
          <w:i/>
          <w:sz w:val="20"/>
          <w:szCs w:val="20"/>
        </w:rPr>
      </w:pPr>
      <w:proofErr w:type="spellStart"/>
      <w:r w:rsidRPr="00F54753">
        <w:rPr>
          <w:rFonts w:ascii="Arial" w:hAnsi="Arial" w:cs="Arial"/>
          <w:b/>
          <w:i/>
          <w:sz w:val="20"/>
          <w:szCs w:val="20"/>
        </w:rPr>
        <w:t>Trigema</w:t>
      </w:r>
      <w:proofErr w:type="spellEnd"/>
      <w:r w:rsidRPr="00F54753">
        <w:rPr>
          <w:rFonts w:ascii="Arial" w:hAnsi="Arial" w:cs="Arial"/>
          <w:i/>
          <w:sz w:val="20"/>
          <w:szCs w:val="20"/>
        </w:rPr>
        <w:t xml:space="preserve">: </w:t>
      </w:r>
      <w:r w:rsidRPr="00F54753">
        <w:rPr>
          <w:rFonts w:ascii="Arial" w:hAnsi="Arial" w:cs="Arial"/>
          <w:i/>
          <w:sz w:val="20"/>
          <w:szCs w:val="20"/>
        </w:rPr>
        <w:tab/>
      </w:r>
      <w:r w:rsidRPr="00F54753">
        <w:rPr>
          <w:rFonts w:ascii="Arial" w:hAnsi="Arial" w:cs="Arial"/>
          <w:i/>
          <w:sz w:val="20"/>
          <w:szCs w:val="20"/>
        </w:rPr>
        <w:tab/>
        <w:t xml:space="preserve">Radek Polák, tiskový mluvčí, tel: 778 747 113, </w:t>
      </w:r>
      <w:hyperlink r:id="rId9" w:history="1">
        <w:r w:rsidRPr="00F54753">
          <w:rPr>
            <w:rStyle w:val="Hypertextovodkaz"/>
            <w:rFonts w:ascii="Arial" w:hAnsi="Arial" w:cs="Arial"/>
            <w:i/>
            <w:sz w:val="20"/>
            <w:szCs w:val="20"/>
          </w:rPr>
          <w:t>polak@trigema.cz</w:t>
        </w:r>
      </w:hyperlink>
    </w:p>
    <w:p w:rsidR="004728A0" w:rsidRPr="00F54753" w:rsidRDefault="004728A0" w:rsidP="004728A0">
      <w:pPr>
        <w:spacing w:after="0" w:line="360" w:lineRule="auto"/>
        <w:ind w:left="2124" w:hanging="2124"/>
        <w:jc w:val="both"/>
        <w:rPr>
          <w:rFonts w:ascii="Arial" w:hAnsi="Arial" w:cs="Arial"/>
          <w:i/>
          <w:sz w:val="20"/>
          <w:szCs w:val="20"/>
        </w:rPr>
      </w:pPr>
      <w:r w:rsidRPr="00F54753">
        <w:rPr>
          <w:rFonts w:ascii="Arial" w:hAnsi="Arial" w:cs="Arial"/>
          <w:b/>
          <w:i/>
          <w:sz w:val="20"/>
          <w:szCs w:val="20"/>
        </w:rPr>
        <w:t>Skanska Reality</w:t>
      </w:r>
      <w:r w:rsidRPr="00F54753">
        <w:rPr>
          <w:rFonts w:ascii="Arial" w:hAnsi="Arial" w:cs="Arial"/>
          <w:i/>
          <w:sz w:val="20"/>
          <w:szCs w:val="20"/>
        </w:rPr>
        <w:t xml:space="preserve">: </w:t>
      </w:r>
      <w:r w:rsidRPr="00F54753">
        <w:rPr>
          <w:rFonts w:ascii="Arial" w:hAnsi="Arial" w:cs="Arial"/>
          <w:i/>
          <w:sz w:val="20"/>
          <w:szCs w:val="20"/>
        </w:rPr>
        <w:tab/>
        <w:t xml:space="preserve">Barbora </w:t>
      </w:r>
      <w:proofErr w:type="spellStart"/>
      <w:r w:rsidRPr="00F54753">
        <w:rPr>
          <w:rFonts w:ascii="Arial" w:hAnsi="Arial" w:cs="Arial"/>
          <w:i/>
          <w:sz w:val="20"/>
          <w:szCs w:val="20"/>
        </w:rPr>
        <w:t>Hantonová</w:t>
      </w:r>
      <w:proofErr w:type="spellEnd"/>
      <w:r w:rsidRPr="00F54753">
        <w:rPr>
          <w:rFonts w:ascii="Arial" w:hAnsi="Arial" w:cs="Arial"/>
          <w:i/>
          <w:sz w:val="20"/>
          <w:szCs w:val="20"/>
        </w:rPr>
        <w:t xml:space="preserve">, marketing a komunikace – rezidenční </w:t>
      </w:r>
      <w:proofErr w:type="spellStart"/>
      <w:r w:rsidRPr="00F54753">
        <w:rPr>
          <w:rFonts w:ascii="Arial" w:hAnsi="Arial" w:cs="Arial"/>
          <w:i/>
          <w:sz w:val="20"/>
          <w:szCs w:val="20"/>
        </w:rPr>
        <w:t>development</w:t>
      </w:r>
      <w:proofErr w:type="spellEnd"/>
      <w:r w:rsidRPr="00F54753">
        <w:rPr>
          <w:rFonts w:ascii="Arial" w:hAnsi="Arial" w:cs="Arial"/>
          <w:i/>
          <w:sz w:val="20"/>
          <w:szCs w:val="20"/>
        </w:rPr>
        <w:t xml:space="preserve">, tel: 776 457 429, </w:t>
      </w:r>
      <w:hyperlink r:id="rId10" w:history="1">
        <w:r w:rsidRPr="00F54753">
          <w:rPr>
            <w:rStyle w:val="Hypertextovodkaz"/>
            <w:rFonts w:ascii="Arial" w:hAnsi="Arial" w:cs="Arial"/>
            <w:i/>
            <w:sz w:val="20"/>
            <w:szCs w:val="20"/>
          </w:rPr>
          <w:t>barbora.hantonova@skanska.cz</w:t>
        </w:r>
      </w:hyperlink>
    </w:p>
    <w:p w:rsidR="004728A0" w:rsidRPr="00F54753" w:rsidRDefault="004728A0" w:rsidP="004728A0">
      <w:pPr>
        <w:spacing w:after="0" w:line="360" w:lineRule="auto"/>
        <w:ind w:left="2124" w:hanging="2124"/>
        <w:jc w:val="both"/>
        <w:rPr>
          <w:rFonts w:ascii="Arial" w:hAnsi="Arial" w:cs="Arial"/>
          <w:i/>
          <w:sz w:val="20"/>
          <w:szCs w:val="20"/>
        </w:rPr>
      </w:pPr>
      <w:proofErr w:type="spellStart"/>
      <w:r w:rsidRPr="00F54753">
        <w:rPr>
          <w:rFonts w:ascii="Arial" w:hAnsi="Arial" w:cs="Arial"/>
          <w:b/>
          <w:i/>
          <w:sz w:val="20"/>
          <w:szCs w:val="20"/>
        </w:rPr>
        <w:t>Central</w:t>
      </w:r>
      <w:proofErr w:type="spellEnd"/>
      <w:r w:rsidRPr="00F54753">
        <w:rPr>
          <w:rFonts w:ascii="Arial" w:hAnsi="Arial" w:cs="Arial"/>
          <w:b/>
          <w:i/>
          <w:sz w:val="20"/>
          <w:szCs w:val="20"/>
        </w:rPr>
        <w:t xml:space="preserve"> Group</w:t>
      </w:r>
      <w:r w:rsidRPr="00F54753">
        <w:rPr>
          <w:rFonts w:ascii="Arial" w:hAnsi="Arial" w:cs="Arial"/>
          <w:i/>
          <w:sz w:val="20"/>
          <w:szCs w:val="20"/>
        </w:rPr>
        <w:t xml:space="preserve">: </w:t>
      </w:r>
      <w:r w:rsidRPr="00F54753">
        <w:rPr>
          <w:rFonts w:ascii="Arial" w:hAnsi="Arial" w:cs="Arial"/>
          <w:i/>
          <w:sz w:val="20"/>
          <w:szCs w:val="20"/>
        </w:rPr>
        <w:tab/>
        <w:t xml:space="preserve">Marcela Fialková, manažerka PR a tisková mluvčí, tel: 724 090 754, </w:t>
      </w:r>
      <w:hyperlink r:id="rId11" w:history="1">
        <w:r w:rsidRPr="00F54753">
          <w:rPr>
            <w:rStyle w:val="Hypertextovodkaz"/>
            <w:rFonts w:ascii="Arial" w:hAnsi="Arial" w:cs="Arial"/>
            <w:i/>
            <w:sz w:val="20"/>
            <w:szCs w:val="20"/>
          </w:rPr>
          <w:t>fialkova@central-group.cz</w:t>
        </w:r>
      </w:hyperlink>
    </w:p>
    <w:p w:rsidR="004728A0" w:rsidRPr="00F54753" w:rsidRDefault="004728A0" w:rsidP="0033134A">
      <w:pPr>
        <w:rPr>
          <w:rFonts w:ascii="Arial" w:hAnsi="Arial" w:cs="Arial"/>
          <w:b/>
          <w:color w:val="0D0D0D" w:themeColor="text1" w:themeTint="F2"/>
          <w:sz w:val="20"/>
          <w:szCs w:val="20"/>
        </w:rPr>
      </w:pPr>
    </w:p>
    <w:sectPr w:rsidR="004728A0" w:rsidRPr="00F54753" w:rsidSect="00242BB6">
      <w:headerReference w:type="default" r:id="rId12"/>
      <w:footerReference w:type="default" r:id="rId13"/>
      <w:pgSz w:w="11906" w:h="16838"/>
      <w:pgMar w:top="2410" w:right="1274" w:bottom="1417" w:left="1417" w:header="17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F7C" w:rsidRDefault="00345F7C" w:rsidP="00177F71">
      <w:pPr>
        <w:spacing w:after="0" w:line="240" w:lineRule="auto"/>
      </w:pPr>
      <w:r>
        <w:separator/>
      </w:r>
    </w:p>
  </w:endnote>
  <w:endnote w:type="continuationSeparator" w:id="0">
    <w:p w:rsidR="00345F7C" w:rsidRDefault="00345F7C" w:rsidP="0017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A8" w:rsidRPr="00242BB6" w:rsidRDefault="00011AA8" w:rsidP="00011AA8">
    <w:pPr>
      <w:autoSpaceDE w:val="0"/>
      <w:autoSpaceDN w:val="0"/>
      <w:adjustRightInd w:val="0"/>
      <w:spacing w:after="0"/>
      <w:jc w:val="both"/>
      <w:rPr>
        <w:rFonts w:ascii="Arial" w:hAnsi="Arial" w:cs="Arial"/>
        <w:i/>
        <w:sz w:val="18"/>
      </w:rPr>
    </w:pPr>
    <w:r w:rsidRPr="00242BB6">
      <w:rPr>
        <w:rFonts w:ascii="Arial" w:hAnsi="Arial" w:cs="Arial"/>
        <w:i/>
        <w:sz w:val="20"/>
        <w:szCs w:val="24"/>
      </w:rPr>
      <w:t xml:space="preserve">Společné analýzy trhu společností </w:t>
    </w:r>
    <w:proofErr w:type="spellStart"/>
    <w:r w:rsidRPr="00242BB6">
      <w:rPr>
        <w:rFonts w:ascii="Arial" w:hAnsi="Arial" w:cs="Arial"/>
        <w:i/>
        <w:sz w:val="20"/>
        <w:szCs w:val="24"/>
      </w:rPr>
      <w:t>Trigema</w:t>
    </w:r>
    <w:proofErr w:type="spellEnd"/>
    <w:r w:rsidRPr="00242BB6">
      <w:rPr>
        <w:rFonts w:ascii="Arial" w:hAnsi="Arial" w:cs="Arial"/>
        <w:i/>
        <w:sz w:val="20"/>
        <w:szCs w:val="24"/>
      </w:rPr>
      <w:t xml:space="preserve">, Skanska Reality a </w:t>
    </w:r>
    <w:proofErr w:type="spellStart"/>
    <w:r w:rsidRPr="00242BB6">
      <w:rPr>
        <w:rFonts w:ascii="Arial" w:hAnsi="Arial" w:cs="Arial"/>
        <w:i/>
        <w:sz w:val="20"/>
        <w:szCs w:val="24"/>
      </w:rPr>
      <w:t>Central</w:t>
    </w:r>
    <w:proofErr w:type="spellEnd"/>
    <w:r w:rsidRPr="00242BB6">
      <w:rPr>
        <w:rFonts w:ascii="Arial" w:hAnsi="Arial" w:cs="Arial"/>
        <w:i/>
        <w:sz w:val="20"/>
        <w:szCs w:val="24"/>
      </w:rPr>
      <w:t xml:space="preserve"> Group poskytují přesný obraz vývoje na trhu s novými byty v Praze. Jsou vždy aktuální, přinášejí výsledky ve standardním čtvrtletním cyklu v komplexním pohledu i v detailu. Metodika pomohla kultivovat a profesionalizovat trh.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F7C" w:rsidRDefault="00345F7C" w:rsidP="00177F71">
      <w:pPr>
        <w:spacing w:after="0" w:line="240" w:lineRule="auto"/>
      </w:pPr>
      <w:r>
        <w:separator/>
      </w:r>
    </w:p>
  </w:footnote>
  <w:footnote w:type="continuationSeparator" w:id="0">
    <w:p w:rsidR="00345F7C" w:rsidRDefault="00345F7C" w:rsidP="0017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F71" w:rsidRDefault="00177F71" w:rsidP="00177F71">
    <w:pPr>
      <w:pStyle w:val="Zhlav"/>
    </w:pPr>
    <w:r>
      <w:rPr>
        <w:noProof/>
        <w:lang w:eastAsia="cs-CZ"/>
      </w:rPr>
      <w:t xml:space="preserve">        </w:t>
    </w:r>
    <w:r>
      <w:rPr>
        <w:noProof/>
        <w:lang w:eastAsia="cs-CZ"/>
      </w:rPr>
      <w:drawing>
        <wp:inline distT="0" distB="0" distL="0" distR="0">
          <wp:extent cx="5179326" cy="1120908"/>
          <wp:effectExtent l="0" t="0" r="2540" b="3175"/>
          <wp:docPr id="1" name="Obrázek 1" descr="S:\Cg#\Dokumenty\Hlavičkový papír Marcela\IMG\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Dokumenty\Hlavičkový papír Marcela\IMG\hea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9801" cy="11210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71"/>
    <w:rsid w:val="00001E4D"/>
    <w:rsid w:val="00011AA8"/>
    <w:rsid w:val="00015322"/>
    <w:rsid w:val="00020E78"/>
    <w:rsid w:val="00021F72"/>
    <w:rsid w:val="00033E01"/>
    <w:rsid w:val="000373CA"/>
    <w:rsid w:val="000538E0"/>
    <w:rsid w:val="00066F89"/>
    <w:rsid w:val="0009340C"/>
    <w:rsid w:val="000A292C"/>
    <w:rsid w:val="000B3CE3"/>
    <w:rsid w:val="000C103F"/>
    <w:rsid w:val="00111A54"/>
    <w:rsid w:val="00137158"/>
    <w:rsid w:val="00161882"/>
    <w:rsid w:val="00162BA2"/>
    <w:rsid w:val="00177F71"/>
    <w:rsid w:val="0018407E"/>
    <w:rsid w:val="001A514C"/>
    <w:rsid w:val="001A71FF"/>
    <w:rsid w:val="001A7E08"/>
    <w:rsid w:val="001B0FE5"/>
    <w:rsid w:val="001B537C"/>
    <w:rsid w:val="001C2D8A"/>
    <w:rsid w:val="001E7704"/>
    <w:rsid w:val="001F0D84"/>
    <w:rsid w:val="00200EBC"/>
    <w:rsid w:val="00201C6A"/>
    <w:rsid w:val="0023253C"/>
    <w:rsid w:val="00236800"/>
    <w:rsid w:val="00242BB6"/>
    <w:rsid w:val="002609C3"/>
    <w:rsid w:val="0027770D"/>
    <w:rsid w:val="00284FE7"/>
    <w:rsid w:val="002A2E9B"/>
    <w:rsid w:val="002B3D29"/>
    <w:rsid w:val="002E65DB"/>
    <w:rsid w:val="003163AB"/>
    <w:rsid w:val="00321404"/>
    <w:rsid w:val="003301AA"/>
    <w:rsid w:val="0033134A"/>
    <w:rsid w:val="00343390"/>
    <w:rsid w:val="00345F7C"/>
    <w:rsid w:val="003504D4"/>
    <w:rsid w:val="00356CC9"/>
    <w:rsid w:val="00391841"/>
    <w:rsid w:val="003B0BEE"/>
    <w:rsid w:val="003C4065"/>
    <w:rsid w:val="00401218"/>
    <w:rsid w:val="00410479"/>
    <w:rsid w:val="0043326C"/>
    <w:rsid w:val="00434A4F"/>
    <w:rsid w:val="004404E1"/>
    <w:rsid w:val="00440BCF"/>
    <w:rsid w:val="0045378E"/>
    <w:rsid w:val="004645CD"/>
    <w:rsid w:val="004728A0"/>
    <w:rsid w:val="004A158B"/>
    <w:rsid w:val="004B6D4F"/>
    <w:rsid w:val="004C1C16"/>
    <w:rsid w:val="004C7040"/>
    <w:rsid w:val="004C722F"/>
    <w:rsid w:val="004E0411"/>
    <w:rsid w:val="004E2CBE"/>
    <w:rsid w:val="004E65D2"/>
    <w:rsid w:val="004E7924"/>
    <w:rsid w:val="00503D08"/>
    <w:rsid w:val="00511157"/>
    <w:rsid w:val="00514EEF"/>
    <w:rsid w:val="00515D70"/>
    <w:rsid w:val="00536AB3"/>
    <w:rsid w:val="005800E5"/>
    <w:rsid w:val="005800FF"/>
    <w:rsid w:val="00581649"/>
    <w:rsid w:val="005C47EA"/>
    <w:rsid w:val="005F57CF"/>
    <w:rsid w:val="006126DE"/>
    <w:rsid w:val="006178CE"/>
    <w:rsid w:val="0062507B"/>
    <w:rsid w:val="00637439"/>
    <w:rsid w:val="00656923"/>
    <w:rsid w:val="006702ED"/>
    <w:rsid w:val="00671305"/>
    <w:rsid w:val="00676A04"/>
    <w:rsid w:val="006976CD"/>
    <w:rsid w:val="006A32E7"/>
    <w:rsid w:val="006C2D82"/>
    <w:rsid w:val="006D4C31"/>
    <w:rsid w:val="006E12A6"/>
    <w:rsid w:val="006F3380"/>
    <w:rsid w:val="00741741"/>
    <w:rsid w:val="00763F8B"/>
    <w:rsid w:val="0076540D"/>
    <w:rsid w:val="007700E7"/>
    <w:rsid w:val="007765C8"/>
    <w:rsid w:val="007774A2"/>
    <w:rsid w:val="007778F2"/>
    <w:rsid w:val="007B0276"/>
    <w:rsid w:val="007C3B00"/>
    <w:rsid w:val="007E0528"/>
    <w:rsid w:val="007E4529"/>
    <w:rsid w:val="00815B2E"/>
    <w:rsid w:val="00830373"/>
    <w:rsid w:val="00832A21"/>
    <w:rsid w:val="0084278D"/>
    <w:rsid w:val="008654DC"/>
    <w:rsid w:val="00871823"/>
    <w:rsid w:val="00885459"/>
    <w:rsid w:val="0089477F"/>
    <w:rsid w:val="008A28B0"/>
    <w:rsid w:val="008B357B"/>
    <w:rsid w:val="008B484F"/>
    <w:rsid w:val="008C00CA"/>
    <w:rsid w:val="008C6344"/>
    <w:rsid w:val="008C72F0"/>
    <w:rsid w:val="008D0341"/>
    <w:rsid w:val="008E5348"/>
    <w:rsid w:val="009117C8"/>
    <w:rsid w:val="009226E3"/>
    <w:rsid w:val="0092542E"/>
    <w:rsid w:val="00926DB5"/>
    <w:rsid w:val="00930AAD"/>
    <w:rsid w:val="00943566"/>
    <w:rsid w:val="009675A3"/>
    <w:rsid w:val="00970549"/>
    <w:rsid w:val="009715FC"/>
    <w:rsid w:val="00990D76"/>
    <w:rsid w:val="00994B2C"/>
    <w:rsid w:val="009B33F0"/>
    <w:rsid w:val="009E6983"/>
    <w:rsid w:val="00A15FF4"/>
    <w:rsid w:val="00A305E8"/>
    <w:rsid w:val="00A462D4"/>
    <w:rsid w:val="00A4794F"/>
    <w:rsid w:val="00A6331C"/>
    <w:rsid w:val="00A636C9"/>
    <w:rsid w:val="00A73C42"/>
    <w:rsid w:val="00A74688"/>
    <w:rsid w:val="00A830ED"/>
    <w:rsid w:val="00A87366"/>
    <w:rsid w:val="00AB5DE1"/>
    <w:rsid w:val="00AB6647"/>
    <w:rsid w:val="00B0576F"/>
    <w:rsid w:val="00B24A5B"/>
    <w:rsid w:val="00B34B7D"/>
    <w:rsid w:val="00B66666"/>
    <w:rsid w:val="00B72411"/>
    <w:rsid w:val="00B74926"/>
    <w:rsid w:val="00B83ADE"/>
    <w:rsid w:val="00BF53F7"/>
    <w:rsid w:val="00C07923"/>
    <w:rsid w:val="00C15F6E"/>
    <w:rsid w:val="00C27805"/>
    <w:rsid w:val="00C33D28"/>
    <w:rsid w:val="00C46600"/>
    <w:rsid w:val="00C577AC"/>
    <w:rsid w:val="00CA504F"/>
    <w:rsid w:val="00CB3F41"/>
    <w:rsid w:val="00CB6565"/>
    <w:rsid w:val="00CC53E7"/>
    <w:rsid w:val="00CD3D1B"/>
    <w:rsid w:val="00CE2300"/>
    <w:rsid w:val="00CE5475"/>
    <w:rsid w:val="00CE5785"/>
    <w:rsid w:val="00CF643E"/>
    <w:rsid w:val="00D434BB"/>
    <w:rsid w:val="00D513B0"/>
    <w:rsid w:val="00D5306C"/>
    <w:rsid w:val="00D64223"/>
    <w:rsid w:val="00D901AF"/>
    <w:rsid w:val="00DA11BE"/>
    <w:rsid w:val="00DB354B"/>
    <w:rsid w:val="00DC7EBA"/>
    <w:rsid w:val="00DD2638"/>
    <w:rsid w:val="00DE3F46"/>
    <w:rsid w:val="00DF0223"/>
    <w:rsid w:val="00E1759D"/>
    <w:rsid w:val="00E232A6"/>
    <w:rsid w:val="00E531AA"/>
    <w:rsid w:val="00E9278C"/>
    <w:rsid w:val="00EA48A7"/>
    <w:rsid w:val="00EB105E"/>
    <w:rsid w:val="00EC5437"/>
    <w:rsid w:val="00EE0F2E"/>
    <w:rsid w:val="00F2180C"/>
    <w:rsid w:val="00F54753"/>
    <w:rsid w:val="00F602E4"/>
    <w:rsid w:val="00F77191"/>
    <w:rsid w:val="00F80C98"/>
    <w:rsid w:val="00F87B08"/>
    <w:rsid w:val="00F91DA2"/>
    <w:rsid w:val="00FA2FBA"/>
    <w:rsid w:val="00FF0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56831C01-8006-4167-A7B1-7986477B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06C"/>
  </w:style>
  <w:style w:type="paragraph" w:styleId="Nadpis1">
    <w:name w:val="heading 1"/>
    <w:basedOn w:val="Normln"/>
    <w:link w:val="Nadpis1Char"/>
    <w:uiPriority w:val="9"/>
    <w:qFormat/>
    <w:rsid w:val="00930A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7F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7F71"/>
  </w:style>
  <w:style w:type="paragraph" w:styleId="Zpat">
    <w:name w:val="footer"/>
    <w:basedOn w:val="Normln"/>
    <w:link w:val="ZpatChar"/>
    <w:uiPriority w:val="99"/>
    <w:unhideWhenUsed/>
    <w:rsid w:val="00177F71"/>
    <w:pPr>
      <w:tabs>
        <w:tab w:val="center" w:pos="4536"/>
        <w:tab w:val="right" w:pos="9072"/>
      </w:tabs>
      <w:spacing w:after="0" w:line="240" w:lineRule="auto"/>
    </w:pPr>
  </w:style>
  <w:style w:type="character" w:customStyle="1" w:styleId="ZpatChar">
    <w:name w:val="Zápatí Char"/>
    <w:basedOn w:val="Standardnpsmoodstavce"/>
    <w:link w:val="Zpat"/>
    <w:uiPriority w:val="99"/>
    <w:rsid w:val="00177F71"/>
  </w:style>
  <w:style w:type="paragraph" w:styleId="Textbubliny">
    <w:name w:val="Balloon Text"/>
    <w:basedOn w:val="Normln"/>
    <w:link w:val="TextbublinyChar"/>
    <w:uiPriority w:val="99"/>
    <w:semiHidden/>
    <w:unhideWhenUsed/>
    <w:rsid w:val="00177F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77F71"/>
    <w:rPr>
      <w:rFonts w:ascii="Tahoma" w:hAnsi="Tahoma" w:cs="Tahoma"/>
      <w:sz w:val="16"/>
      <w:szCs w:val="16"/>
    </w:rPr>
  </w:style>
  <w:style w:type="paragraph" w:styleId="FormtovanvHTML">
    <w:name w:val="HTML Preformatted"/>
    <w:basedOn w:val="Normln"/>
    <w:link w:val="FormtovanvHTMLChar"/>
    <w:uiPriority w:val="99"/>
    <w:unhideWhenUsed/>
    <w:rsid w:val="00D5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D5306C"/>
    <w:rPr>
      <w:rFonts w:ascii="Courier New" w:eastAsia="Times New Roman" w:hAnsi="Courier New" w:cs="Courier New"/>
      <w:sz w:val="20"/>
      <w:szCs w:val="20"/>
      <w:lang w:eastAsia="cs-CZ"/>
    </w:rPr>
  </w:style>
  <w:style w:type="character" w:customStyle="1" w:styleId="Text12">
    <w:name w:val="Text12"/>
    <w:basedOn w:val="Standardnpsmoodstavce"/>
    <w:uiPriority w:val="1"/>
    <w:qFormat/>
    <w:rsid w:val="001F0D84"/>
    <w:rPr>
      <w:rFonts w:ascii="Arial" w:hAnsi="Arial" w:cs="Arial" w:hint="default"/>
      <w:sz w:val="24"/>
    </w:rPr>
  </w:style>
  <w:style w:type="character" w:customStyle="1" w:styleId="Nadpis1Char">
    <w:name w:val="Nadpis 1 Char"/>
    <w:basedOn w:val="Standardnpsmoodstavce"/>
    <w:link w:val="Nadpis1"/>
    <w:uiPriority w:val="9"/>
    <w:rsid w:val="00930AAD"/>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DC7EBA"/>
    <w:rPr>
      <w:color w:val="0000FF" w:themeColor="hyperlink"/>
      <w:u w:val="single"/>
    </w:rPr>
  </w:style>
  <w:style w:type="paragraph" w:styleId="Normlnweb">
    <w:name w:val="Normal (Web)"/>
    <w:basedOn w:val="Normln"/>
    <w:uiPriority w:val="99"/>
    <w:semiHidden/>
    <w:unhideWhenUsed/>
    <w:rsid w:val="00284FE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5983">
      <w:bodyDiv w:val="1"/>
      <w:marLeft w:val="0"/>
      <w:marRight w:val="0"/>
      <w:marTop w:val="0"/>
      <w:marBottom w:val="0"/>
      <w:divBdr>
        <w:top w:val="none" w:sz="0" w:space="0" w:color="auto"/>
        <w:left w:val="none" w:sz="0" w:space="0" w:color="auto"/>
        <w:bottom w:val="none" w:sz="0" w:space="0" w:color="auto"/>
        <w:right w:val="none" w:sz="0" w:space="0" w:color="auto"/>
      </w:divBdr>
    </w:div>
    <w:div w:id="323320544">
      <w:bodyDiv w:val="1"/>
      <w:marLeft w:val="0"/>
      <w:marRight w:val="0"/>
      <w:marTop w:val="0"/>
      <w:marBottom w:val="0"/>
      <w:divBdr>
        <w:top w:val="none" w:sz="0" w:space="0" w:color="auto"/>
        <w:left w:val="none" w:sz="0" w:space="0" w:color="auto"/>
        <w:bottom w:val="none" w:sz="0" w:space="0" w:color="auto"/>
        <w:right w:val="none" w:sz="0" w:space="0" w:color="auto"/>
      </w:divBdr>
    </w:div>
    <w:div w:id="565604634">
      <w:bodyDiv w:val="1"/>
      <w:marLeft w:val="0"/>
      <w:marRight w:val="0"/>
      <w:marTop w:val="0"/>
      <w:marBottom w:val="0"/>
      <w:divBdr>
        <w:top w:val="none" w:sz="0" w:space="0" w:color="auto"/>
        <w:left w:val="none" w:sz="0" w:space="0" w:color="auto"/>
        <w:bottom w:val="none" w:sz="0" w:space="0" w:color="auto"/>
        <w:right w:val="none" w:sz="0" w:space="0" w:color="auto"/>
      </w:divBdr>
    </w:div>
    <w:div w:id="871304751">
      <w:bodyDiv w:val="1"/>
      <w:marLeft w:val="0"/>
      <w:marRight w:val="0"/>
      <w:marTop w:val="0"/>
      <w:marBottom w:val="0"/>
      <w:divBdr>
        <w:top w:val="none" w:sz="0" w:space="0" w:color="auto"/>
        <w:left w:val="none" w:sz="0" w:space="0" w:color="auto"/>
        <w:bottom w:val="none" w:sz="0" w:space="0" w:color="auto"/>
        <w:right w:val="none" w:sz="0" w:space="0" w:color="auto"/>
      </w:divBdr>
    </w:div>
    <w:div w:id="1092045347">
      <w:bodyDiv w:val="1"/>
      <w:marLeft w:val="0"/>
      <w:marRight w:val="0"/>
      <w:marTop w:val="0"/>
      <w:marBottom w:val="0"/>
      <w:divBdr>
        <w:top w:val="none" w:sz="0" w:space="0" w:color="auto"/>
        <w:left w:val="none" w:sz="0" w:space="0" w:color="auto"/>
        <w:bottom w:val="none" w:sz="0" w:space="0" w:color="auto"/>
        <w:right w:val="none" w:sz="0" w:space="0" w:color="auto"/>
      </w:divBdr>
    </w:div>
    <w:div w:id="1119110957">
      <w:bodyDiv w:val="1"/>
      <w:marLeft w:val="0"/>
      <w:marRight w:val="0"/>
      <w:marTop w:val="0"/>
      <w:marBottom w:val="0"/>
      <w:divBdr>
        <w:top w:val="none" w:sz="0" w:space="0" w:color="auto"/>
        <w:left w:val="none" w:sz="0" w:space="0" w:color="auto"/>
        <w:bottom w:val="none" w:sz="0" w:space="0" w:color="auto"/>
        <w:right w:val="none" w:sz="0" w:space="0" w:color="auto"/>
      </w:divBdr>
    </w:div>
    <w:div w:id="1184856395">
      <w:bodyDiv w:val="1"/>
      <w:marLeft w:val="0"/>
      <w:marRight w:val="0"/>
      <w:marTop w:val="0"/>
      <w:marBottom w:val="0"/>
      <w:divBdr>
        <w:top w:val="none" w:sz="0" w:space="0" w:color="auto"/>
        <w:left w:val="none" w:sz="0" w:space="0" w:color="auto"/>
        <w:bottom w:val="none" w:sz="0" w:space="0" w:color="auto"/>
        <w:right w:val="none" w:sz="0" w:space="0" w:color="auto"/>
      </w:divBdr>
    </w:div>
    <w:div w:id="1188253616">
      <w:bodyDiv w:val="1"/>
      <w:marLeft w:val="0"/>
      <w:marRight w:val="0"/>
      <w:marTop w:val="0"/>
      <w:marBottom w:val="0"/>
      <w:divBdr>
        <w:top w:val="none" w:sz="0" w:space="0" w:color="auto"/>
        <w:left w:val="none" w:sz="0" w:space="0" w:color="auto"/>
        <w:bottom w:val="none" w:sz="0" w:space="0" w:color="auto"/>
        <w:right w:val="none" w:sz="0" w:space="0" w:color="auto"/>
      </w:divBdr>
    </w:div>
    <w:div w:id="1425302065">
      <w:bodyDiv w:val="1"/>
      <w:marLeft w:val="0"/>
      <w:marRight w:val="0"/>
      <w:marTop w:val="0"/>
      <w:marBottom w:val="0"/>
      <w:divBdr>
        <w:top w:val="none" w:sz="0" w:space="0" w:color="auto"/>
        <w:left w:val="none" w:sz="0" w:space="0" w:color="auto"/>
        <w:bottom w:val="none" w:sz="0" w:space="0" w:color="auto"/>
        <w:right w:val="none" w:sz="0" w:space="0" w:color="auto"/>
      </w:divBdr>
    </w:div>
    <w:div w:id="2010058722">
      <w:bodyDiv w:val="1"/>
      <w:marLeft w:val="0"/>
      <w:marRight w:val="0"/>
      <w:marTop w:val="0"/>
      <w:marBottom w:val="0"/>
      <w:divBdr>
        <w:top w:val="none" w:sz="0" w:space="0" w:color="auto"/>
        <w:left w:val="none" w:sz="0" w:space="0" w:color="auto"/>
        <w:bottom w:val="none" w:sz="0" w:space="0" w:color="auto"/>
        <w:right w:val="none" w:sz="0" w:space="0" w:color="auto"/>
      </w:divBdr>
    </w:div>
    <w:div w:id="20121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ialkova@central-group.cz"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barbora.hantonova@skanska.cz" TargetMode="External"/><Relationship Id="rId4" Type="http://schemas.openxmlformats.org/officeDocument/2006/relationships/footnotes" Target="footnotes.xml"/><Relationship Id="rId9" Type="http://schemas.openxmlformats.org/officeDocument/2006/relationships/hyperlink" Target="mailto:polak@trigem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3831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Skanska a.s.</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Polák Radek</cp:lastModifiedBy>
  <cp:revision>3</cp:revision>
  <cp:lastPrinted>2019-04-24T14:33:00Z</cp:lastPrinted>
  <dcterms:created xsi:type="dcterms:W3CDTF">2019-04-24T14:38:00Z</dcterms:created>
  <dcterms:modified xsi:type="dcterms:W3CDTF">2019-04-24T14:39:00Z</dcterms:modified>
</cp:coreProperties>
</file>