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1C956379" w:rsidR="00FC5DD2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3B7EF8">
        <w:rPr>
          <w:rFonts w:ascii="Arial" w:hAnsi="Arial" w:cs="Arial"/>
          <w:bCs/>
          <w:sz w:val="16"/>
          <w:szCs w:val="16"/>
        </w:rPr>
        <w:t>31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3B7EF8">
        <w:rPr>
          <w:rFonts w:ascii="Arial" w:hAnsi="Arial" w:cs="Arial"/>
          <w:bCs/>
          <w:sz w:val="16"/>
          <w:szCs w:val="16"/>
        </w:rPr>
        <w:t>ledna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799EC0EF" w14:textId="77777777" w:rsidR="00312FE2" w:rsidRPr="000A54B7" w:rsidRDefault="00312FE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BC34883" w14:textId="77777777" w:rsidR="003B7EF8" w:rsidRPr="003B7EF8" w:rsidRDefault="003B7EF8" w:rsidP="003B7EF8">
      <w:pPr>
        <w:jc w:val="center"/>
        <w:rPr>
          <w:rFonts w:ascii="Arial" w:hAnsi="Arial" w:cs="Arial"/>
          <w:b/>
        </w:rPr>
      </w:pPr>
      <w:r w:rsidRPr="003B7EF8">
        <w:rPr>
          <w:rFonts w:ascii="Arial" w:hAnsi="Arial" w:cs="Arial"/>
          <w:b/>
        </w:rPr>
        <w:t xml:space="preserve">Přístavbu školy za více než 100 milionů zajistila </w:t>
      </w:r>
      <w:proofErr w:type="spellStart"/>
      <w:r w:rsidRPr="003B7EF8">
        <w:rPr>
          <w:rFonts w:ascii="Arial" w:hAnsi="Arial" w:cs="Arial"/>
          <w:b/>
        </w:rPr>
        <w:t>Trigema</w:t>
      </w:r>
      <w:proofErr w:type="spellEnd"/>
      <w:r w:rsidRPr="003B7EF8">
        <w:rPr>
          <w:rFonts w:ascii="Arial" w:hAnsi="Arial" w:cs="Arial"/>
          <w:b/>
        </w:rPr>
        <w:t xml:space="preserve"> Building</w:t>
      </w:r>
    </w:p>
    <w:p w14:paraId="3DC1C692" w14:textId="77777777" w:rsidR="003B7EF8" w:rsidRDefault="003B7EF8" w:rsidP="003B7EF8">
      <w:pPr>
        <w:rPr>
          <w:rFonts w:ascii="Arial" w:hAnsi="Arial" w:cs="Arial"/>
          <w:sz w:val="23"/>
          <w:szCs w:val="23"/>
        </w:rPr>
      </w:pPr>
    </w:p>
    <w:p w14:paraId="4DEBA7FA" w14:textId="77777777" w:rsidR="003B7EF8" w:rsidRDefault="003B7EF8" w:rsidP="003B7E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9812F6" w14:textId="77777777" w:rsidR="003B7EF8" w:rsidRPr="003B7EF8" w:rsidRDefault="003B7EF8" w:rsidP="003B7EF8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3B7EF8">
        <w:rPr>
          <w:rFonts w:ascii="Arial" w:hAnsi="Arial" w:cs="Arial"/>
          <w:b/>
          <w:sz w:val="19"/>
          <w:szCs w:val="19"/>
        </w:rPr>
        <w:t xml:space="preserve">Za více než 100 milionů korun dokončila stavební společnost </w:t>
      </w:r>
      <w:proofErr w:type="spellStart"/>
      <w:r w:rsidRPr="003B7EF8">
        <w:rPr>
          <w:rFonts w:ascii="Arial" w:hAnsi="Arial" w:cs="Arial"/>
          <w:b/>
          <w:sz w:val="19"/>
          <w:szCs w:val="19"/>
        </w:rPr>
        <w:t>Trigema</w:t>
      </w:r>
      <w:proofErr w:type="spellEnd"/>
      <w:r w:rsidRPr="003B7EF8">
        <w:rPr>
          <w:rFonts w:ascii="Arial" w:hAnsi="Arial" w:cs="Arial"/>
          <w:b/>
          <w:sz w:val="19"/>
          <w:szCs w:val="19"/>
        </w:rPr>
        <w:t xml:space="preserve"> Building projekt přístavby základní školy Tupolevova v pražský</w:t>
      </w:r>
      <w:bookmarkStart w:id="0" w:name="_GoBack"/>
      <w:bookmarkEnd w:id="0"/>
      <w:r w:rsidRPr="003B7EF8">
        <w:rPr>
          <w:rFonts w:ascii="Arial" w:hAnsi="Arial" w:cs="Arial"/>
          <w:b/>
          <w:sz w:val="19"/>
          <w:szCs w:val="19"/>
        </w:rPr>
        <w:t>ch Letňanech. Díky tomu zde došlo k vytvoření více než 10 nových tříd.</w:t>
      </w:r>
    </w:p>
    <w:p w14:paraId="391C4BD9" w14:textId="77777777" w:rsidR="003B7EF8" w:rsidRPr="003B7EF8" w:rsidRDefault="003B7EF8" w:rsidP="003B7EF8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D968D91" w14:textId="77777777" w:rsidR="003B7EF8" w:rsidRPr="003B7EF8" w:rsidRDefault="003B7EF8" w:rsidP="003B7EF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B7EF8">
        <w:rPr>
          <w:rFonts w:ascii="Arial" w:hAnsi="Arial" w:cs="Arial"/>
          <w:sz w:val="19"/>
          <w:szCs w:val="19"/>
        </w:rPr>
        <w:t xml:space="preserve">Práce </w:t>
      </w:r>
      <w:proofErr w:type="spellStart"/>
      <w:r w:rsidRPr="003B7EF8">
        <w:rPr>
          <w:rFonts w:ascii="Arial" w:hAnsi="Arial" w:cs="Arial"/>
          <w:sz w:val="19"/>
          <w:szCs w:val="19"/>
        </w:rPr>
        <w:t>Trigema</w:t>
      </w:r>
      <w:proofErr w:type="spellEnd"/>
      <w:r w:rsidRPr="003B7EF8">
        <w:rPr>
          <w:rFonts w:ascii="Arial" w:hAnsi="Arial" w:cs="Arial"/>
          <w:sz w:val="19"/>
          <w:szCs w:val="19"/>
        </w:rPr>
        <w:t xml:space="preserve"> Building v Letňanech zahrnovaly přístavbu nového pavilonu E, vnitřního dvora, spojovací chodby a úpravy jídelny ve stávajícím pavilonu D. Výsledkem je především 11 zcela nových a další 2 rekonstruované třídy. Vnitřní dvůr, který vznikl mezi stávajícími objekty A, D a E, pak může od nynějška sloužit k posezení žáků během přestávky.</w:t>
      </w:r>
    </w:p>
    <w:p w14:paraId="63C19CF6" w14:textId="77777777" w:rsidR="003B7EF8" w:rsidRPr="003B7EF8" w:rsidRDefault="003B7EF8" w:rsidP="003B7EF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B7EF8">
        <w:rPr>
          <w:rFonts w:ascii="Arial" w:hAnsi="Arial" w:cs="Arial"/>
          <w:sz w:val="19"/>
          <w:szCs w:val="19"/>
        </w:rPr>
        <w:t>Jednotlivé nově postavené třídy jsou vybaveny systémem klimatizace VRV (</w:t>
      </w:r>
      <w:proofErr w:type="spellStart"/>
      <w:r w:rsidRPr="003B7EF8">
        <w:rPr>
          <w:rFonts w:ascii="Arial" w:hAnsi="Arial" w:cs="Arial"/>
          <w:sz w:val="19"/>
          <w:szCs w:val="19"/>
        </w:rPr>
        <w:t>Variable</w:t>
      </w:r>
      <w:proofErr w:type="spellEnd"/>
      <w:r w:rsidRPr="003B7EF8">
        <w:rPr>
          <w:rFonts w:ascii="Arial" w:hAnsi="Arial" w:cs="Arial"/>
          <w:sz w:val="19"/>
          <w:szCs w:val="19"/>
        </w:rPr>
        <w:t xml:space="preserve"> Refrigerant </w:t>
      </w:r>
      <w:proofErr w:type="spellStart"/>
      <w:r w:rsidRPr="003B7EF8">
        <w:rPr>
          <w:rFonts w:ascii="Arial" w:hAnsi="Arial" w:cs="Arial"/>
          <w:sz w:val="19"/>
          <w:szCs w:val="19"/>
        </w:rPr>
        <w:t>Volume</w:t>
      </w:r>
      <w:proofErr w:type="spellEnd"/>
      <w:r w:rsidRPr="003B7EF8">
        <w:rPr>
          <w:rFonts w:ascii="Arial" w:hAnsi="Arial" w:cs="Arial"/>
          <w:sz w:val="19"/>
          <w:szCs w:val="19"/>
        </w:rPr>
        <w:t>), jenž umožňuje plynulou regulaci chladícího a topného výkonu. Větrání je zajištěno prostřednictvím vzduchotechnických jednotek s rekuperací. Regulaci obstarávají čidla na koncentraci CO</w:t>
      </w:r>
      <w:r w:rsidRPr="003B7EF8">
        <w:rPr>
          <w:rFonts w:ascii="Arial" w:hAnsi="Arial" w:cs="Arial"/>
          <w:sz w:val="19"/>
          <w:szCs w:val="19"/>
          <w:vertAlign w:val="subscript"/>
        </w:rPr>
        <w:t>2</w:t>
      </w:r>
      <w:r w:rsidRPr="003B7EF8">
        <w:rPr>
          <w:rFonts w:ascii="Arial" w:hAnsi="Arial" w:cs="Arial"/>
          <w:sz w:val="19"/>
          <w:szCs w:val="19"/>
        </w:rPr>
        <w:t xml:space="preserve">. Celý objekt je v energetické třídě A, což znamená, že budova je velmi úsporná. </w:t>
      </w:r>
    </w:p>
    <w:p w14:paraId="15AF666E" w14:textId="77777777" w:rsidR="003B7EF8" w:rsidRPr="003B7EF8" w:rsidRDefault="003B7EF8" w:rsidP="003B7EF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B7EF8">
        <w:rPr>
          <w:rFonts w:ascii="Arial" w:hAnsi="Arial" w:cs="Arial"/>
          <w:sz w:val="19"/>
          <w:szCs w:val="19"/>
        </w:rPr>
        <w:t xml:space="preserve">V rámci rekonstrukce jídelny </w:t>
      </w:r>
      <w:proofErr w:type="spellStart"/>
      <w:r w:rsidRPr="003B7EF8">
        <w:rPr>
          <w:rFonts w:ascii="Arial" w:hAnsi="Arial" w:cs="Arial"/>
          <w:sz w:val="19"/>
          <w:szCs w:val="19"/>
        </w:rPr>
        <w:t>Trigema</w:t>
      </w:r>
      <w:proofErr w:type="spellEnd"/>
      <w:r w:rsidRPr="003B7EF8">
        <w:rPr>
          <w:rFonts w:ascii="Arial" w:hAnsi="Arial" w:cs="Arial"/>
          <w:sz w:val="19"/>
          <w:szCs w:val="19"/>
        </w:rPr>
        <w:t xml:space="preserve"> Building navíc instalovala do střešního pláště obloukové světlíky a provedla úpravu gastro zařízení. </w:t>
      </w:r>
    </w:p>
    <w:p w14:paraId="04F9545E" w14:textId="77777777" w:rsidR="003B7EF8" w:rsidRPr="003B7EF8" w:rsidRDefault="003B7EF8" w:rsidP="003B7EF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B7EF8">
        <w:rPr>
          <w:rFonts w:ascii="Arial" w:hAnsi="Arial" w:cs="Arial"/>
          <w:sz w:val="19"/>
          <w:szCs w:val="19"/>
        </w:rPr>
        <w:t>Stavba v areálu školy, který se nachází u letňanských ulic Tupolevova a Beranových, probíhala v průběhu minulého roku. Investorem byla Městská část Praha 18.</w:t>
      </w:r>
    </w:p>
    <w:p w14:paraId="6C265BC9" w14:textId="77777777" w:rsidR="003B7EF8" w:rsidRPr="003B7EF8" w:rsidRDefault="003B7EF8" w:rsidP="003B7EF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B7EF8">
        <w:rPr>
          <w:rFonts w:ascii="Arial" w:hAnsi="Arial" w:cs="Arial"/>
          <w:sz w:val="19"/>
          <w:szCs w:val="19"/>
        </w:rPr>
        <w:t xml:space="preserve">Stavební část koncernu </w:t>
      </w:r>
      <w:proofErr w:type="spellStart"/>
      <w:r w:rsidRPr="003B7EF8">
        <w:rPr>
          <w:rFonts w:ascii="Arial" w:hAnsi="Arial" w:cs="Arial"/>
          <w:sz w:val="19"/>
          <w:szCs w:val="19"/>
        </w:rPr>
        <w:t>Trigema</w:t>
      </w:r>
      <w:proofErr w:type="spellEnd"/>
      <w:r w:rsidRPr="003B7EF8">
        <w:rPr>
          <w:rFonts w:ascii="Arial" w:hAnsi="Arial" w:cs="Arial"/>
          <w:sz w:val="19"/>
          <w:szCs w:val="19"/>
        </w:rPr>
        <w:t xml:space="preserve"> má ve svém portfoliu projekty pro celou řadu dalších významných firem a organizací. Z oblasti komerční sféry k nim patří mimo jiné Česká spořitelna,</w:t>
      </w:r>
      <w:r w:rsidRPr="003B7EF8">
        <w:rPr>
          <w:rFonts w:ascii="Arial" w:eastAsia="ProximaNova-Light" w:hAnsi="Arial" w:cs="Arial"/>
          <w:sz w:val="19"/>
          <w:szCs w:val="19"/>
        </w:rPr>
        <w:t xml:space="preserve"> AVE, Tesco či Ahold Czech Republic. </w:t>
      </w:r>
      <w:proofErr w:type="spellStart"/>
      <w:r w:rsidRPr="003B7EF8">
        <w:rPr>
          <w:rFonts w:ascii="Arial" w:hAnsi="Arial" w:cs="Arial"/>
          <w:sz w:val="19"/>
          <w:szCs w:val="19"/>
        </w:rPr>
        <w:t>Trigema</w:t>
      </w:r>
      <w:proofErr w:type="spellEnd"/>
      <w:r w:rsidRPr="003B7EF8">
        <w:rPr>
          <w:rFonts w:ascii="Arial" w:hAnsi="Arial" w:cs="Arial"/>
          <w:sz w:val="19"/>
          <w:szCs w:val="19"/>
        </w:rPr>
        <w:t xml:space="preserve"> Building se kromě rekonstrukcí zabývá rovněž zateplováním a </w:t>
      </w:r>
      <w:proofErr w:type="spellStart"/>
      <w:r w:rsidRPr="003B7EF8">
        <w:rPr>
          <w:rFonts w:ascii="Arial" w:hAnsi="Arial" w:cs="Arial"/>
          <w:sz w:val="19"/>
          <w:szCs w:val="19"/>
        </w:rPr>
        <w:t>opláštěním</w:t>
      </w:r>
      <w:proofErr w:type="spellEnd"/>
      <w:r w:rsidRPr="003B7EF8">
        <w:rPr>
          <w:rFonts w:ascii="Arial" w:hAnsi="Arial" w:cs="Arial"/>
          <w:sz w:val="19"/>
          <w:szCs w:val="19"/>
        </w:rPr>
        <w:t xml:space="preserve"> průmyslových hal. Věnuje se současně i realizaci novo</w:t>
      </w:r>
      <w:r w:rsidRPr="003B7EF8">
        <w:rPr>
          <w:rFonts w:ascii="Arial" w:hAnsi="Arial" w:cs="Arial"/>
          <w:bCs/>
          <w:sz w:val="19"/>
          <w:szCs w:val="19"/>
        </w:rPr>
        <w:t>staveb</w:t>
      </w:r>
      <w:r w:rsidRPr="003B7EF8">
        <w:rPr>
          <w:rFonts w:ascii="Arial" w:hAnsi="Arial" w:cs="Arial"/>
          <w:sz w:val="19"/>
          <w:szCs w:val="19"/>
        </w:rPr>
        <w:t xml:space="preserve">. </w:t>
      </w:r>
    </w:p>
    <w:p w14:paraId="4571D14F" w14:textId="77777777" w:rsidR="003B7EF8" w:rsidRPr="003B7EF8" w:rsidRDefault="003B7EF8" w:rsidP="00312FE2">
      <w:pPr>
        <w:jc w:val="center"/>
        <w:rPr>
          <w:rFonts w:ascii="Arial" w:hAnsi="Arial" w:cs="Arial"/>
          <w:b/>
          <w:sz w:val="19"/>
          <w:szCs w:val="19"/>
        </w:rPr>
      </w:pPr>
    </w:p>
    <w:p w14:paraId="16FD3D01" w14:textId="2DC4B272" w:rsidR="00312FE2" w:rsidRPr="003B7EF8" w:rsidRDefault="00312FE2" w:rsidP="00312FE2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3B7EF8">
        <w:rPr>
          <w:rFonts w:ascii="Arial" w:hAnsi="Arial" w:cs="Arial"/>
          <w:sz w:val="19"/>
          <w:szCs w:val="19"/>
        </w:rPr>
        <w:t xml:space="preserve">Zdroj </w:t>
      </w:r>
      <w:r w:rsidR="003B7EF8" w:rsidRPr="003B7EF8">
        <w:rPr>
          <w:rFonts w:ascii="Arial" w:hAnsi="Arial" w:cs="Arial"/>
          <w:sz w:val="19"/>
          <w:szCs w:val="19"/>
        </w:rPr>
        <w:t>fotografií</w:t>
      </w:r>
      <w:r w:rsidRPr="003B7EF8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3B7EF8">
        <w:rPr>
          <w:rFonts w:ascii="Arial" w:hAnsi="Arial" w:cs="Arial"/>
          <w:sz w:val="19"/>
          <w:szCs w:val="19"/>
        </w:rPr>
        <w:t>Trigema</w:t>
      </w:r>
      <w:proofErr w:type="spellEnd"/>
    </w:p>
    <w:p w14:paraId="476F2A5C" w14:textId="77777777" w:rsidR="00FC5DD2" w:rsidRPr="00312FE2" w:rsidRDefault="00FC5DD2" w:rsidP="00FC5DD2">
      <w:pPr>
        <w:spacing w:line="360" w:lineRule="auto"/>
        <w:rPr>
          <w:rFonts w:ascii="Arial" w:hAnsi="Arial" w:cs="Arial"/>
          <w:b/>
          <w:sz w:val="19"/>
          <w:szCs w:val="19"/>
        </w:rPr>
      </w:pPr>
    </w:p>
    <w:sectPr w:rsidR="00FC5DD2" w:rsidRPr="00312FE2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altName w:val="MS P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3B7EF8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12FE2"/>
    <w:rsid w:val="003273AF"/>
    <w:rsid w:val="00334DF6"/>
    <w:rsid w:val="003518CB"/>
    <w:rsid w:val="003700F1"/>
    <w:rsid w:val="003804B5"/>
    <w:rsid w:val="00381C34"/>
    <w:rsid w:val="00394543"/>
    <w:rsid w:val="003B7EF8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F007-3BD7-4604-8859-EDAF0E9D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2020-02-24T08:07:00Z</dcterms:created>
  <dcterms:modified xsi:type="dcterms:W3CDTF">2020-02-24T08:07:00Z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