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320B924F" w:rsidR="00FC5DD2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4B6FBC">
        <w:rPr>
          <w:rFonts w:ascii="Arial" w:hAnsi="Arial" w:cs="Arial"/>
          <w:bCs/>
          <w:sz w:val="16"/>
          <w:szCs w:val="16"/>
        </w:rPr>
        <w:t>3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. </w:t>
      </w:r>
      <w:r w:rsidR="004B6FBC">
        <w:rPr>
          <w:rFonts w:ascii="Arial" w:hAnsi="Arial" w:cs="Arial"/>
          <w:bCs/>
          <w:sz w:val="16"/>
          <w:szCs w:val="16"/>
        </w:rPr>
        <w:t>led</w:t>
      </w:r>
      <w:r w:rsidR="00312FE2">
        <w:rPr>
          <w:rFonts w:ascii="Arial" w:hAnsi="Arial" w:cs="Arial"/>
          <w:bCs/>
          <w:sz w:val="16"/>
          <w:szCs w:val="16"/>
        </w:rPr>
        <w:t>na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</w:t>
      </w:r>
      <w:r w:rsidR="009D59F3">
        <w:rPr>
          <w:rFonts w:ascii="Arial" w:hAnsi="Arial" w:cs="Arial"/>
          <w:bCs/>
          <w:sz w:val="16"/>
          <w:szCs w:val="16"/>
        </w:rPr>
        <w:t>19</w:t>
      </w:r>
    </w:p>
    <w:p w14:paraId="799EC0EF" w14:textId="77777777" w:rsidR="00312FE2" w:rsidRPr="000A54B7" w:rsidRDefault="00312FE2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41DABCE7" w14:textId="77777777" w:rsidR="004B6FBC" w:rsidRDefault="004B6FBC" w:rsidP="004B6FBC">
      <w:pPr>
        <w:spacing w:line="360" w:lineRule="auto"/>
        <w:jc w:val="center"/>
        <w:rPr>
          <w:rFonts w:ascii="Arial" w:hAnsi="Arial" w:cs="Arial"/>
          <w:b/>
          <w:iCs/>
        </w:rPr>
      </w:pPr>
      <w:bookmarkStart w:id="0" w:name="_GoBack"/>
      <w:proofErr w:type="spellStart"/>
      <w:r>
        <w:rPr>
          <w:rFonts w:ascii="Arial" w:hAnsi="Arial" w:cs="Arial"/>
          <w:b/>
          <w:iCs/>
        </w:rPr>
        <w:t>Trigema</w:t>
      </w:r>
      <w:proofErr w:type="spellEnd"/>
      <w:r>
        <w:rPr>
          <w:rFonts w:ascii="Arial" w:hAnsi="Arial" w:cs="Arial"/>
          <w:b/>
          <w:iCs/>
        </w:rPr>
        <w:t xml:space="preserve"> vydala druhou emisi dluhopisů v objemu půl miliardy </w:t>
      </w:r>
      <w:bookmarkEnd w:id="0"/>
      <w:r>
        <w:rPr>
          <w:rFonts w:ascii="Arial" w:hAnsi="Arial" w:cs="Arial"/>
          <w:b/>
          <w:iCs/>
        </w:rPr>
        <w:t>korun</w:t>
      </w:r>
    </w:p>
    <w:p w14:paraId="7F8DB405" w14:textId="77777777" w:rsidR="004B6FBC" w:rsidRDefault="004B6FBC" w:rsidP="004B6FBC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7A40164E" w14:textId="5F1F2890" w:rsidR="004B6FBC" w:rsidRPr="004B6FBC" w:rsidRDefault="004B6FBC" w:rsidP="004B6FBC">
      <w:pPr>
        <w:spacing w:line="360" w:lineRule="auto"/>
        <w:jc w:val="both"/>
        <w:rPr>
          <w:rFonts w:ascii="Arial" w:hAnsi="Arial" w:cs="Arial"/>
          <w:b/>
          <w:iCs/>
          <w:sz w:val="19"/>
          <w:szCs w:val="19"/>
        </w:rPr>
      </w:pPr>
      <w:r w:rsidRPr="004B6FBC">
        <w:rPr>
          <w:rFonts w:ascii="Arial" w:hAnsi="Arial" w:cs="Arial"/>
          <w:b/>
          <w:iCs/>
          <w:sz w:val="19"/>
          <w:szCs w:val="19"/>
        </w:rPr>
        <w:t xml:space="preserve">Developerská společnost </w:t>
      </w:r>
      <w:proofErr w:type="spellStart"/>
      <w:r w:rsidRPr="004B6FBC">
        <w:rPr>
          <w:rFonts w:ascii="Arial" w:hAnsi="Arial" w:cs="Arial"/>
          <w:b/>
          <w:iCs/>
          <w:sz w:val="19"/>
          <w:szCs w:val="19"/>
        </w:rPr>
        <w:t>Trigema</w:t>
      </w:r>
      <w:proofErr w:type="spellEnd"/>
      <w:r w:rsidRPr="004B6FBC">
        <w:rPr>
          <w:rFonts w:ascii="Arial" w:hAnsi="Arial" w:cs="Arial"/>
          <w:b/>
          <w:iCs/>
          <w:sz w:val="19"/>
          <w:szCs w:val="19"/>
        </w:rPr>
        <w:t xml:space="preserve"> prostřednictvím svého korporátního dluhopisového programu vydala s ročním odstupem druhou emisi cenných papírů. V rámci veřejné nabídky, která probíhala v listopadu a prosinci minulého roku, nabídla pětiletou emisi s předpokládaným objemem 450 milionů korun. Zájem investorů však více než dvojnásobně překročil tento objem. </w:t>
      </w:r>
    </w:p>
    <w:p w14:paraId="07A49D29" w14:textId="77777777" w:rsidR="004B6FBC" w:rsidRPr="004B6FBC" w:rsidRDefault="004B6FBC" w:rsidP="004B6FBC">
      <w:pPr>
        <w:spacing w:line="360" w:lineRule="auto"/>
        <w:jc w:val="both"/>
        <w:rPr>
          <w:rFonts w:ascii="Arial" w:hAnsi="Arial" w:cs="Arial"/>
          <w:iCs/>
          <w:sz w:val="19"/>
          <w:szCs w:val="19"/>
        </w:rPr>
      </w:pPr>
    </w:p>
    <w:p w14:paraId="512DD3E2" w14:textId="77777777" w:rsidR="004B6FBC" w:rsidRPr="004B6FBC" w:rsidRDefault="004B6FBC" w:rsidP="004B6FBC">
      <w:pPr>
        <w:spacing w:line="360" w:lineRule="auto"/>
        <w:jc w:val="both"/>
        <w:rPr>
          <w:rFonts w:ascii="Arial" w:hAnsi="Arial" w:cs="Arial"/>
          <w:iCs/>
          <w:sz w:val="19"/>
          <w:szCs w:val="19"/>
        </w:rPr>
      </w:pPr>
      <w:r w:rsidRPr="004B6FBC">
        <w:rPr>
          <w:rFonts w:ascii="Arial" w:hAnsi="Arial" w:cs="Arial"/>
          <w:iCs/>
          <w:sz w:val="19"/>
          <w:szCs w:val="19"/>
        </w:rPr>
        <w:t xml:space="preserve"> „</w:t>
      </w:r>
      <w:r w:rsidRPr="004B6FBC">
        <w:rPr>
          <w:rFonts w:ascii="Arial" w:hAnsi="Arial" w:cs="Arial"/>
          <w:i/>
          <w:iCs/>
          <w:sz w:val="19"/>
          <w:szCs w:val="19"/>
        </w:rPr>
        <w:t>Poptávka po našich cenných papírech byla v celkovém objemu převyšujícím jednu miliardu korun. Velký zájem jsme zaregistrovali hned během prvních dnů od zahájení nabídky</w:t>
      </w:r>
      <w:r w:rsidRPr="004B6FBC">
        <w:rPr>
          <w:rFonts w:ascii="Arial" w:hAnsi="Arial" w:cs="Arial"/>
          <w:iCs/>
          <w:sz w:val="19"/>
          <w:szCs w:val="19"/>
        </w:rPr>
        <w:t xml:space="preserve">,“ říká Marcel Soural, předseda představenstva společnosti </w:t>
      </w:r>
      <w:proofErr w:type="spellStart"/>
      <w:r w:rsidRPr="004B6FBC">
        <w:rPr>
          <w:rFonts w:ascii="Arial" w:hAnsi="Arial" w:cs="Arial"/>
          <w:iCs/>
          <w:sz w:val="19"/>
          <w:szCs w:val="19"/>
        </w:rPr>
        <w:t>Trigema</w:t>
      </w:r>
      <w:proofErr w:type="spellEnd"/>
      <w:r w:rsidRPr="004B6FBC">
        <w:rPr>
          <w:rFonts w:ascii="Arial" w:hAnsi="Arial" w:cs="Arial"/>
          <w:iCs/>
          <w:sz w:val="19"/>
          <w:szCs w:val="19"/>
        </w:rPr>
        <w:t xml:space="preserve">. </w:t>
      </w:r>
    </w:p>
    <w:p w14:paraId="66266276" w14:textId="77777777" w:rsidR="004B6FBC" w:rsidRPr="004B6FBC" w:rsidRDefault="004B6FBC" w:rsidP="004B6FBC">
      <w:pPr>
        <w:spacing w:line="360" w:lineRule="auto"/>
        <w:jc w:val="both"/>
        <w:rPr>
          <w:rFonts w:ascii="Arial" w:hAnsi="Arial" w:cs="Arial"/>
          <w:iCs/>
          <w:sz w:val="19"/>
          <w:szCs w:val="19"/>
        </w:rPr>
      </w:pPr>
      <w:r w:rsidRPr="004B6FBC">
        <w:rPr>
          <w:rFonts w:ascii="Arial" w:hAnsi="Arial" w:cs="Arial"/>
          <w:iCs/>
          <w:sz w:val="19"/>
          <w:szCs w:val="19"/>
        </w:rPr>
        <w:t xml:space="preserve">Společnost </w:t>
      </w:r>
      <w:proofErr w:type="spellStart"/>
      <w:r w:rsidRPr="004B6FBC">
        <w:rPr>
          <w:rFonts w:ascii="Arial" w:hAnsi="Arial" w:cs="Arial"/>
          <w:iCs/>
          <w:sz w:val="19"/>
          <w:szCs w:val="19"/>
        </w:rPr>
        <w:t>Trigema</w:t>
      </w:r>
      <w:proofErr w:type="spellEnd"/>
      <w:r w:rsidRPr="004B6FBC">
        <w:rPr>
          <w:rFonts w:ascii="Arial" w:hAnsi="Arial" w:cs="Arial"/>
          <w:iCs/>
          <w:sz w:val="19"/>
          <w:szCs w:val="19"/>
        </w:rPr>
        <w:t xml:space="preserve"> se nakonec rozhodla vydat dluhopisy za 500 milionů korun. Většinu investorů tvoří klienti privátního bankovnictví a třetinu pak přímo finanční instituce. V rámci druhé emise byly vydány pětileté dluhopisy s fixním úrokovým výnosem ve výši 5,10 % </w:t>
      </w:r>
      <w:proofErr w:type="spellStart"/>
      <w:r w:rsidRPr="004B6FBC">
        <w:rPr>
          <w:rFonts w:ascii="Arial" w:hAnsi="Arial" w:cs="Arial"/>
          <w:iCs/>
          <w:sz w:val="19"/>
          <w:szCs w:val="19"/>
        </w:rPr>
        <w:t>p.a</w:t>
      </w:r>
      <w:proofErr w:type="spellEnd"/>
      <w:r w:rsidRPr="004B6FBC">
        <w:rPr>
          <w:rFonts w:ascii="Arial" w:hAnsi="Arial" w:cs="Arial"/>
          <w:iCs/>
          <w:sz w:val="19"/>
          <w:szCs w:val="19"/>
        </w:rPr>
        <w:t xml:space="preserve">.. Dluhopisy jsou obchodovatelné na regulovaném trhu Burzy cenných papírů Praha. Manažerem emise a aranžérem dluhopisového programu je </w:t>
      </w:r>
      <w:proofErr w:type="spellStart"/>
      <w:r w:rsidRPr="004B6FBC">
        <w:rPr>
          <w:rFonts w:ascii="Arial" w:hAnsi="Arial" w:cs="Arial"/>
          <w:iCs/>
          <w:sz w:val="19"/>
          <w:szCs w:val="19"/>
        </w:rPr>
        <w:t>UniCredit</w:t>
      </w:r>
      <w:proofErr w:type="spellEnd"/>
      <w:r w:rsidRPr="004B6FBC">
        <w:rPr>
          <w:rFonts w:ascii="Arial" w:hAnsi="Arial" w:cs="Arial"/>
          <w:iCs/>
          <w:sz w:val="19"/>
          <w:szCs w:val="19"/>
        </w:rPr>
        <w:t xml:space="preserve"> Bank. </w:t>
      </w:r>
    </w:p>
    <w:p w14:paraId="699C2F24" w14:textId="77777777" w:rsidR="004B6FBC" w:rsidRPr="004B6FBC" w:rsidRDefault="004B6FBC" w:rsidP="004B6FBC">
      <w:pPr>
        <w:spacing w:line="360" w:lineRule="auto"/>
        <w:jc w:val="both"/>
        <w:rPr>
          <w:rFonts w:ascii="Arial" w:hAnsi="Arial" w:cs="Arial"/>
          <w:iCs/>
          <w:sz w:val="19"/>
          <w:szCs w:val="19"/>
        </w:rPr>
      </w:pPr>
      <w:r w:rsidRPr="004B6FBC">
        <w:rPr>
          <w:rFonts w:ascii="Arial" w:hAnsi="Arial" w:cs="Arial"/>
          <w:iCs/>
          <w:sz w:val="19"/>
          <w:szCs w:val="19"/>
        </w:rPr>
        <w:t xml:space="preserve">Prostředky z této emise </w:t>
      </w:r>
      <w:proofErr w:type="spellStart"/>
      <w:r w:rsidRPr="004B6FBC">
        <w:rPr>
          <w:rFonts w:ascii="Arial" w:hAnsi="Arial" w:cs="Arial"/>
          <w:iCs/>
          <w:sz w:val="19"/>
          <w:szCs w:val="19"/>
        </w:rPr>
        <w:t>Trigema</w:t>
      </w:r>
      <w:proofErr w:type="spellEnd"/>
      <w:r w:rsidRPr="004B6FBC">
        <w:rPr>
          <w:rFonts w:ascii="Arial" w:hAnsi="Arial" w:cs="Arial"/>
          <w:iCs/>
          <w:sz w:val="19"/>
          <w:szCs w:val="19"/>
        </w:rPr>
        <w:t xml:space="preserve"> použije na rezidenční projekty, jež aktuálně připravuje a jejichž výstavba bude zahájena ještě v tomto roce. Zbylá část prostředků je určena pro nové akvizice projektů.</w:t>
      </w:r>
    </w:p>
    <w:p w14:paraId="27C975F6" w14:textId="77777777" w:rsidR="004B6FBC" w:rsidRPr="004B6FBC" w:rsidRDefault="004B6FBC" w:rsidP="004B6FBC">
      <w:pPr>
        <w:spacing w:line="360" w:lineRule="auto"/>
        <w:jc w:val="both"/>
        <w:rPr>
          <w:rFonts w:ascii="Arial" w:hAnsi="Arial" w:cs="Arial"/>
          <w:iCs/>
          <w:sz w:val="19"/>
          <w:szCs w:val="19"/>
        </w:rPr>
      </w:pPr>
      <w:r w:rsidRPr="004B6FBC">
        <w:rPr>
          <w:rFonts w:ascii="Arial" w:hAnsi="Arial" w:cs="Arial"/>
          <w:iCs/>
          <w:sz w:val="19"/>
          <w:szCs w:val="19"/>
        </w:rPr>
        <w:t>„</w:t>
      </w:r>
      <w:r w:rsidRPr="004B6FBC">
        <w:rPr>
          <w:rFonts w:ascii="Arial" w:hAnsi="Arial" w:cs="Arial"/>
          <w:i/>
          <w:iCs/>
          <w:sz w:val="19"/>
          <w:szCs w:val="19"/>
        </w:rPr>
        <w:t>Další emisi dluhopisů, díky níž by prostředky směřovaly do obecných realitních aktivit společnosti, pro tento rok neplánujeme. Zvažujeme však, že bychom vydali projektové dluhopisy jednoho z našich připravovaných projektů</w:t>
      </w:r>
      <w:r w:rsidRPr="004B6FBC">
        <w:rPr>
          <w:rFonts w:ascii="Arial" w:hAnsi="Arial" w:cs="Arial"/>
          <w:iCs/>
          <w:sz w:val="19"/>
          <w:szCs w:val="19"/>
        </w:rPr>
        <w:t xml:space="preserve">,“ dodává Soural. </w:t>
      </w:r>
    </w:p>
    <w:p w14:paraId="76BF17D6" w14:textId="77777777" w:rsidR="004B6FBC" w:rsidRPr="004B6FBC" w:rsidRDefault="004B6FBC" w:rsidP="004B6FBC">
      <w:pPr>
        <w:spacing w:line="360" w:lineRule="auto"/>
        <w:jc w:val="both"/>
        <w:rPr>
          <w:rFonts w:ascii="Arial" w:hAnsi="Arial" w:cs="Arial"/>
          <w:iCs/>
          <w:sz w:val="19"/>
          <w:szCs w:val="19"/>
        </w:rPr>
      </w:pPr>
      <w:r w:rsidRPr="004B6FBC">
        <w:rPr>
          <w:rFonts w:ascii="Arial" w:hAnsi="Arial" w:cs="Arial"/>
          <w:iCs/>
          <w:sz w:val="19"/>
          <w:szCs w:val="19"/>
        </w:rPr>
        <w:t xml:space="preserve">První emise dluhopisů společnosti </w:t>
      </w:r>
      <w:proofErr w:type="spellStart"/>
      <w:r w:rsidRPr="004B6FBC">
        <w:rPr>
          <w:rFonts w:ascii="Arial" w:hAnsi="Arial" w:cs="Arial"/>
          <w:iCs/>
          <w:sz w:val="19"/>
          <w:szCs w:val="19"/>
        </w:rPr>
        <w:t>Trigema</w:t>
      </w:r>
      <w:proofErr w:type="spellEnd"/>
      <w:r w:rsidRPr="004B6FBC">
        <w:rPr>
          <w:rFonts w:ascii="Arial" w:hAnsi="Arial" w:cs="Arial"/>
          <w:iCs/>
          <w:sz w:val="19"/>
          <w:szCs w:val="19"/>
        </w:rPr>
        <w:t xml:space="preserve"> proběhla na konci roku 2017. Institucionální investoři tehdy upsali dluhopisy za 450 milionů korun. </w:t>
      </w:r>
    </w:p>
    <w:p w14:paraId="1C0252CC" w14:textId="77777777" w:rsidR="004B6FBC" w:rsidRDefault="004B6FBC" w:rsidP="004B6FBC">
      <w:p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12E0954" w14:textId="77777777" w:rsidR="004B6FBC" w:rsidRDefault="004B6FBC" w:rsidP="00312FE2">
      <w:pPr>
        <w:jc w:val="center"/>
        <w:rPr>
          <w:rFonts w:ascii="Arial" w:hAnsi="Arial" w:cs="Arial"/>
          <w:b/>
        </w:rPr>
      </w:pPr>
    </w:p>
    <w:sectPr w:rsidR="004B6FBC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4B6FBC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12FE2"/>
    <w:rsid w:val="003273AF"/>
    <w:rsid w:val="00334DF6"/>
    <w:rsid w:val="003518CB"/>
    <w:rsid w:val="003700F1"/>
    <w:rsid w:val="003804B5"/>
    <w:rsid w:val="00381C34"/>
    <w:rsid w:val="00394543"/>
    <w:rsid w:val="003E7A92"/>
    <w:rsid w:val="0041024D"/>
    <w:rsid w:val="0043042C"/>
    <w:rsid w:val="00431447"/>
    <w:rsid w:val="004344E1"/>
    <w:rsid w:val="0045300B"/>
    <w:rsid w:val="0046287A"/>
    <w:rsid w:val="00485120"/>
    <w:rsid w:val="004A2911"/>
    <w:rsid w:val="004B41AE"/>
    <w:rsid w:val="004B6FBC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910C9"/>
    <w:rsid w:val="00695382"/>
    <w:rsid w:val="006A4E5B"/>
    <w:rsid w:val="006F3590"/>
    <w:rsid w:val="00702E41"/>
    <w:rsid w:val="00705418"/>
    <w:rsid w:val="0074058D"/>
    <w:rsid w:val="00756B76"/>
    <w:rsid w:val="007D2C17"/>
    <w:rsid w:val="007D7B6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D59F3"/>
    <w:rsid w:val="009E7B1D"/>
    <w:rsid w:val="009F578E"/>
    <w:rsid w:val="00A00E58"/>
    <w:rsid w:val="00A049F5"/>
    <w:rsid w:val="00A06C9C"/>
    <w:rsid w:val="00A11619"/>
    <w:rsid w:val="00A12979"/>
    <w:rsid w:val="00A43918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D4E6-CD2C-4788-B022-D845977B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2020-02-24T07:40:00Z</cp:lastPrinted>
  <dcterms:created xsi:type="dcterms:W3CDTF">2020-02-24T08:16:00Z</dcterms:created>
  <dcterms:modified xsi:type="dcterms:W3CDTF">2020-02-24T08:16:00Z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